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E6C02" w14:paraId="6B25F44A" w14:textId="77777777" w:rsidTr="00070E0F">
        <w:tc>
          <w:tcPr>
            <w:tcW w:w="9070" w:type="dxa"/>
            <w:shd w:val="clear" w:color="auto" w:fill="FFFFFF" w:themeFill="background1"/>
            <w:tcMar>
              <w:top w:w="284" w:type="dxa"/>
              <w:left w:w="284" w:type="dxa"/>
              <w:bottom w:w="567" w:type="dxa"/>
              <w:right w:w="284" w:type="dxa"/>
            </w:tcMar>
          </w:tcPr>
          <w:p w14:paraId="08958542" w14:textId="77777777" w:rsidR="00DE6C02" w:rsidRDefault="00DE6C02" w:rsidP="009557E3">
            <w:pPr>
              <w:pStyle w:val="NoSpacing"/>
            </w:pPr>
            <w:r>
              <w:drawing>
                <wp:inline distT="0" distB="0" distL="0" distR="0" wp14:anchorId="2A19BE60" wp14:editId="69CC59E6">
                  <wp:extent cx="2544445" cy="38163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CEF" w14:paraId="2C632FD0" w14:textId="77777777" w:rsidTr="00070E0F">
        <w:tc>
          <w:tcPr>
            <w:tcW w:w="9070" w:type="dxa"/>
            <w:shd w:val="clear" w:color="auto" w:fill="FFFFFF" w:themeFill="background1"/>
          </w:tcPr>
          <w:p w14:paraId="121AE22A" w14:textId="18892193" w:rsidR="00DE1CEF" w:rsidRDefault="00A00927" w:rsidP="00A00927">
            <w:pPr>
              <w:pStyle w:val="NormalWeb"/>
            </w:pPr>
            <w:bookmarkStart w:id="0" w:name="_Hlk41991412"/>
            <w:r>
              <w:rPr>
                <w:noProof/>
              </w:rPr>
              <w:drawing>
                <wp:inline distT="0" distB="0" distL="0" distR="0" wp14:anchorId="65F1A6F8" wp14:editId="680BE8D4">
                  <wp:extent cx="5801385" cy="1338781"/>
                  <wp:effectExtent l="0" t="0" r="0" b="0"/>
                  <wp:docPr id="508515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155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1385" cy="133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CEF" w14:paraId="25E12ACF" w14:textId="77777777" w:rsidTr="00070E0F">
        <w:tc>
          <w:tcPr>
            <w:tcW w:w="9070" w:type="dxa"/>
            <w:shd w:val="clear" w:color="auto" w:fill="FFFFFF" w:themeFill="background1"/>
            <w:tcMar>
              <w:top w:w="567" w:type="dxa"/>
              <w:left w:w="284" w:type="dxa"/>
              <w:bottom w:w="567" w:type="dxa"/>
              <w:right w:w="284" w:type="dxa"/>
            </w:tcMar>
          </w:tcPr>
          <w:p w14:paraId="71D5C56A" w14:textId="77777777" w:rsidR="009B4BC8" w:rsidRPr="004931B6" w:rsidRDefault="009B4BC8" w:rsidP="004931B6">
            <w:pPr>
              <w:pStyle w:val="Heading1"/>
            </w:pPr>
            <w:r w:rsidRPr="004931B6">
              <w:t xml:space="preserve">Dear </w:t>
            </w:r>
            <w:r w:rsidRPr="00E4174A">
              <w:rPr>
                <w:highlight w:val="yellow"/>
              </w:rPr>
              <w:t>[insert name of employee],</w:t>
            </w:r>
          </w:p>
          <w:p w14:paraId="3E164DAD" w14:textId="77777777" w:rsidR="00CD57E5" w:rsidRPr="00E30514" w:rsidRDefault="00CD57E5" w:rsidP="00CD57E5">
            <w:pPr>
              <w:pStyle w:val="NoSpacing"/>
            </w:pPr>
            <w:r w:rsidRPr="00E30514">
              <w:t xml:space="preserve">The end of the tax year </w:t>
            </w:r>
            <w:r>
              <w:t xml:space="preserve">can be </w:t>
            </w:r>
            <w:r w:rsidRPr="00E30514">
              <w:t xml:space="preserve">a key time for </w:t>
            </w:r>
            <w:r>
              <w:t xml:space="preserve">managing your finances, including your pension. You may want to consider paying more in to make the most of your pension allowance and tax relief on your plan. </w:t>
            </w:r>
          </w:p>
          <w:p w14:paraId="78AEBD23" w14:textId="77777777" w:rsidR="00CD57E5" w:rsidRPr="00E30514" w:rsidRDefault="00CD57E5" w:rsidP="00CD57E5">
            <w:pPr>
              <w:pStyle w:val="NoSpacing"/>
            </w:pPr>
          </w:p>
          <w:p w14:paraId="629AD901" w14:textId="77777777" w:rsidR="00CD57E5" w:rsidRPr="00E30514" w:rsidRDefault="00CD57E5" w:rsidP="00CD57E5">
            <w:pPr>
              <w:pStyle w:val="NoSpacing"/>
              <w:rPr>
                <w:rStyle w:val="Heading2Char"/>
                <w:b w:val="0"/>
                <w:bCs w:val="0"/>
              </w:rPr>
            </w:pPr>
            <w:r w:rsidRPr="00E30514">
              <w:rPr>
                <w:rStyle w:val="Heading2Char"/>
              </w:rPr>
              <w:t xml:space="preserve">Make the most of your </w:t>
            </w:r>
            <w:r>
              <w:rPr>
                <w:rStyle w:val="Heading2Char"/>
              </w:rPr>
              <w:t xml:space="preserve">annual </w:t>
            </w:r>
            <w:r w:rsidRPr="00E30514">
              <w:rPr>
                <w:rStyle w:val="Heading2Char"/>
              </w:rPr>
              <w:t>allowance</w:t>
            </w:r>
          </w:p>
          <w:p w14:paraId="6983EDC7" w14:textId="77777777" w:rsidR="00CD57E5" w:rsidRDefault="00CD57E5" w:rsidP="00CD57E5">
            <w:pPr>
              <w:pStyle w:val="NoSpacing"/>
            </w:pPr>
          </w:p>
          <w:p w14:paraId="0545D326" w14:textId="77777777" w:rsidR="00CD57E5" w:rsidRDefault="00CD57E5" w:rsidP="00CD57E5">
            <w:pPr>
              <w:pStyle w:val="NoSpacing"/>
            </w:pPr>
            <w:r w:rsidRPr="00DB1DB9">
              <w:rPr>
                <w:color w:val="auto"/>
              </w:rPr>
              <w:t xml:space="preserve">The </w:t>
            </w:r>
            <w:hyperlink r:id="rId9" w:history="1">
              <w:r w:rsidRPr="00370C20">
                <w:rPr>
                  <w:rStyle w:val="Hyperlink"/>
                </w:rPr>
                <w:t>annual allowance</w:t>
              </w:r>
            </w:hyperlink>
            <w:r w:rsidRPr="00DB1DB9">
              <w:rPr>
                <w:color w:val="auto"/>
              </w:rPr>
              <w:t xml:space="preserve"> is </w:t>
            </w:r>
            <w:r>
              <w:rPr>
                <w:color w:val="auto"/>
              </w:rPr>
              <w:t>a</w:t>
            </w:r>
            <w:r w:rsidRPr="00DB1DB9">
              <w:rPr>
                <w:color w:val="auto"/>
              </w:rPr>
              <w:t xml:space="preserve"> limit o</w:t>
            </w:r>
            <w:r>
              <w:rPr>
                <w:color w:val="auto"/>
              </w:rPr>
              <w:t>n</w:t>
            </w:r>
            <w:r w:rsidRPr="00DB1DB9">
              <w:rPr>
                <w:color w:val="auto"/>
              </w:rPr>
              <w:t xml:space="preserve"> the amount </w:t>
            </w:r>
            <w:r>
              <w:rPr>
                <w:color w:val="auto"/>
              </w:rPr>
              <w:t xml:space="preserve">that </w:t>
            </w:r>
            <w:r w:rsidRPr="00DB1DB9">
              <w:rPr>
                <w:color w:val="auto"/>
              </w:rPr>
              <w:t xml:space="preserve">you </w:t>
            </w:r>
            <w:r>
              <w:rPr>
                <w:color w:val="auto"/>
              </w:rPr>
              <w:t>and your employer, or any third party can pay into all of your pension plans before a tax charge applies.</w:t>
            </w:r>
          </w:p>
          <w:p w14:paraId="62C202D6" w14:textId="77777777" w:rsidR="00CD57E5" w:rsidRDefault="00CD57E5" w:rsidP="00CD57E5">
            <w:pPr>
              <w:pStyle w:val="NoSpacing"/>
            </w:pPr>
          </w:p>
          <w:p w14:paraId="47F3C81F" w14:textId="77777777" w:rsidR="00CD57E5" w:rsidRDefault="00CD57E5" w:rsidP="00CD57E5">
            <w:pPr>
              <w:pStyle w:val="NoSpacing"/>
              <w:rPr>
                <w:color w:val="auto"/>
              </w:rPr>
            </w:pPr>
            <w:r>
              <w:t xml:space="preserve">For </w:t>
            </w:r>
            <w:r w:rsidRPr="00263155">
              <w:rPr>
                <w:color w:val="auto"/>
              </w:rPr>
              <w:t>the 202</w:t>
            </w:r>
            <w:r>
              <w:rPr>
                <w:color w:val="auto"/>
              </w:rPr>
              <w:t>5</w:t>
            </w:r>
            <w:r w:rsidRPr="00263155">
              <w:rPr>
                <w:color w:val="auto"/>
              </w:rPr>
              <w:t>/2</w:t>
            </w:r>
            <w:r>
              <w:rPr>
                <w:color w:val="auto"/>
              </w:rPr>
              <w:t>6</w:t>
            </w:r>
            <w:r w:rsidRPr="00263155">
              <w:rPr>
                <w:color w:val="auto"/>
              </w:rPr>
              <w:t xml:space="preserve"> tax yea</w:t>
            </w:r>
            <w:r>
              <w:rPr>
                <w:color w:val="auto"/>
              </w:rPr>
              <w:t>r, it</w:t>
            </w:r>
            <w:r w:rsidRPr="00263155">
              <w:rPr>
                <w:color w:val="auto"/>
              </w:rPr>
              <w:t xml:space="preserve"> is £60,000</w:t>
            </w:r>
            <w:r>
              <w:rPr>
                <w:color w:val="auto"/>
              </w:rPr>
              <w:t xml:space="preserve">. If you haven’t reached these limits, you may be able to take advantage of tax relief and power up your pension with a </w:t>
            </w:r>
            <w:hyperlink r:id="rId10" w:history="1">
              <w:r w:rsidRPr="00370C20">
                <w:rPr>
                  <w:rStyle w:val="Hyperlink"/>
                </w:rPr>
                <w:t>one-off pension contribution</w:t>
              </w:r>
            </w:hyperlink>
            <w:r>
              <w:rPr>
                <w:color w:val="auto"/>
              </w:rPr>
              <w:t xml:space="preserve">. </w:t>
            </w:r>
          </w:p>
          <w:p w14:paraId="6E513B2E" w14:textId="77777777" w:rsidR="00CD57E5" w:rsidRDefault="00CD57E5" w:rsidP="00CD57E5">
            <w:pPr>
              <w:pStyle w:val="NoSpacing"/>
              <w:rPr>
                <w:color w:val="FF0000"/>
              </w:rPr>
            </w:pPr>
          </w:p>
          <w:p w14:paraId="3D583F75" w14:textId="0F00E476" w:rsidR="00CD57E5" w:rsidRPr="00370C20" w:rsidRDefault="00CD57E5" w:rsidP="00CD57E5">
            <w:pPr>
              <w:pStyle w:val="NoSpacing"/>
              <w:rPr>
                <w:rStyle w:val="Hyperlink"/>
              </w:rPr>
            </w:pPr>
            <w:r w:rsidRPr="00DB1DB9">
              <w:rPr>
                <w:color w:val="auto"/>
              </w:rPr>
              <w:t xml:space="preserve">You can </w:t>
            </w:r>
            <w:r>
              <w:rPr>
                <w:color w:val="auto"/>
              </w:rPr>
              <w:t xml:space="preserve">still </w:t>
            </w:r>
            <w:r w:rsidRPr="00DB1DB9">
              <w:rPr>
                <w:color w:val="auto"/>
              </w:rPr>
              <w:t>pay in up to 100% of your earnings</w:t>
            </w:r>
            <w:r>
              <w:rPr>
                <w:color w:val="auto"/>
              </w:rPr>
              <w:t xml:space="preserve"> but i</w:t>
            </w:r>
            <w:r w:rsidRPr="00DB1DB9">
              <w:rPr>
                <w:color w:val="auto"/>
              </w:rPr>
              <w:t xml:space="preserve">f you pay </w:t>
            </w:r>
            <w:r>
              <w:rPr>
                <w:color w:val="auto"/>
              </w:rPr>
              <w:t xml:space="preserve">over the annual allowance, you may pay a tax charge. If you </w:t>
            </w:r>
            <w:r w:rsidR="002133FB">
              <w:rPr>
                <w:color w:val="auto"/>
              </w:rPr>
              <w:t>earn over £260,000</w:t>
            </w:r>
            <w:r w:rsidR="00A1274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or have already started taking money from your pension, you may have a lower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>HYPERLINK "https://www.royallondon.com/guides-tools/pension-guides/pension-basics/pension-allowances/"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Pr="00370C20">
              <w:rPr>
                <w:rStyle w:val="Hyperlink"/>
              </w:rPr>
              <w:t>annual allowance.</w:t>
            </w:r>
          </w:p>
          <w:p w14:paraId="7D874D22" w14:textId="77777777" w:rsidR="00CD57E5" w:rsidRDefault="00CD57E5" w:rsidP="00CD57E5">
            <w:pPr>
              <w:pStyle w:val="NoSpacing"/>
            </w:pPr>
            <w:r>
              <w:rPr>
                <w:color w:val="auto"/>
              </w:rPr>
              <w:fldChar w:fldCharType="end"/>
            </w:r>
          </w:p>
          <w:p w14:paraId="4AA70531" w14:textId="77777777" w:rsidR="00CD57E5" w:rsidRPr="00E30514" w:rsidRDefault="00CD57E5" w:rsidP="00CD57E5">
            <w:pPr>
              <w:pStyle w:val="NoSpacing"/>
              <w:rPr>
                <w:rStyle w:val="Heading2Char"/>
              </w:rPr>
            </w:pPr>
            <w:r w:rsidRPr="00E30514">
              <w:rPr>
                <w:rStyle w:val="Heading2Char"/>
              </w:rPr>
              <w:t xml:space="preserve">Tax relief </w:t>
            </w:r>
            <w:r w:rsidRPr="001E3982">
              <w:rPr>
                <w:rStyle w:val="Heading2Char"/>
              </w:rPr>
              <w:t>benefits</w:t>
            </w:r>
          </w:p>
          <w:p w14:paraId="047EFBC0" w14:textId="77777777" w:rsidR="00CD57E5" w:rsidRDefault="00CD57E5" w:rsidP="00CD57E5">
            <w:pPr>
              <w:pStyle w:val="NoSpacing"/>
            </w:pPr>
          </w:p>
          <w:p w14:paraId="168CAB27" w14:textId="77777777" w:rsidR="00CD57E5" w:rsidRDefault="00CD57E5" w:rsidP="00CD57E5">
            <w:pPr>
              <w:pStyle w:val="NoSpacing"/>
            </w:pPr>
            <w:r>
              <w:t xml:space="preserve">As </w:t>
            </w:r>
            <w:r w:rsidRPr="00E30514">
              <w:t xml:space="preserve">you pay a higher rate of income tax </w:t>
            </w:r>
            <w:r>
              <w:t xml:space="preserve">than basic rate, </w:t>
            </w:r>
            <w:r w:rsidRPr="00E30514">
              <w:t>you</w:t>
            </w:r>
            <w:r>
              <w:t>’ll</w:t>
            </w:r>
            <w:r w:rsidRPr="00E30514">
              <w:t xml:space="preserve"> benefit from additional tax relief </w:t>
            </w:r>
            <w:hyperlink r:id="rId11" w:history="1">
              <w:r w:rsidRPr="00E30514">
                <w:t xml:space="preserve">which you can claim from HM Revenue </w:t>
              </w:r>
              <w:r>
                <w:t>and</w:t>
              </w:r>
              <w:r w:rsidRPr="00E30514">
                <w:t xml:space="preserve"> C</w:t>
              </w:r>
            </w:hyperlink>
            <w:r w:rsidRPr="00E30514">
              <w:t>ustoms</w:t>
            </w:r>
            <w:r>
              <w:t xml:space="preserve"> (HMRC)</w:t>
            </w:r>
            <w:r w:rsidRPr="00E30514">
              <w:t xml:space="preserve">. </w:t>
            </w:r>
          </w:p>
          <w:p w14:paraId="41CE5D9D" w14:textId="77777777" w:rsidR="00A00927" w:rsidRDefault="00A00927" w:rsidP="005F7DA8"/>
          <w:p w14:paraId="2AB2FF08" w14:textId="77777777" w:rsidR="009B2E24" w:rsidRDefault="009B2E24" w:rsidP="009B2E24">
            <w:pPr>
              <w:pStyle w:val="NoSpacing"/>
            </w:pPr>
            <w:r>
              <w:lastRenderedPageBreak/>
              <w:t>Tax treatment depends on your individual circumstances including where you live in the UK. Tax rules and legislation may change in the future.</w:t>
            </w:r>
          </w:p>
          <w:p w14:paraId="2FEE9EF6" w14:textId="77777777" w:rsidR="009B2E24" w:rsidRDefault="009B2E24" w:rsidP="009B2E24">
            <w:pPr>
              <w:pStyle w:val="NoSpacing"/>
              <w:rPr>
                <w:rStyle w:val="Heading2Char"/>
              </w:rPr>
            </w:pPr>
          </w:p>
          <w:p w14:paraId="70552106" w14:textId="77777777" w:rsidR="009B2E24" w:rsidRPr="00E30514" w:rsidRDefault="009B2E24" w:rsidP="009B2E24">
            <w:pPr>
              <w:pStyle w:val="NoSpacing"/>
              <w:rPr>
                <w:rStyle w:val="Heading2Char"/>
                <w:b w:val="0"/>
                <w:bCs w:val="0"/>
              </w:rPr>
            </w:pPr>
            <w:r>
              <w:rPr>
                <w:rStyle w:val="Heading2Char"/>
              </w:rPr>
              <w:t>Power up your pension</w:t>
            </w:r>
          </w:p>
          <w:p w14:paraId="0CE0E555" w14:textId="77777777" w:rsidR="009B2E24" w:rsidRDefault="009B2E24" w:rsidP="009B2E24">
            <w:pPr>
              <w:autoSpaceDE w:val="0"/>
              <w:autoSpaceDN w:val="0"/>
              <w:adjustRightInd w:val="0"/>
              <w:spacing w:after="0"/>
            </w:pPr>
          </w:p>
          <w:p w14:paraId="2ACAB4FD" w14:textId="77777777" w:rsidR="009B2E24" w:rsidRPr="00AF722D" w:rsidRDefault="009B2E24" w:rsidP="009B2E24">
            <w:pPr>
              <w:rPr>
                <w:rStyle w:val="Hyperlink"/>
              </w:rPr>
            </w:pPr>
            <w:r>
              <w:t xml:space="preserve">If you decide a one-off pension contribution is right for you or you’d like to find out more, </w:t>
            </w:r>
            <w:r>
              <w:fldChar w:fldCharType="begin"/>
            </w:r>
            <w:r>
              <w:instrText>HYPERLINK "https://www.royallondon.com/guides-tools/pension-guides/pension-basics/power-up-your-pension-with-a-single-contribution/?utm_source=ER-EE+One+off+contribution+&amp;utm_medium=ER+Toolkit+Email+Template&amp;utm_campaign=TYE2025"</w:instrText>
            </w:r>
            <w:r>
              <w:fldChar w:fldCharType="separate"/>
            </w:r>
            <w:r w:rsidRPr="00AF722D">
              <w:rPr>
                <w:rStyle w:val="Hyperlink"/>
              </w:rPr>
              <w:t>visit the Royal London website.</w:t>
            </w:r>
          </w:p>
          <w:p w14:paraId="3D8E0FD9" w14:textId="77777777" w:rsidR="009B2E24" w:rsidRPr="00E30E12" w:rsidRDefault="009B2E24" w:rsidP="009B2E24">
            <w:pPr>
              <w:autoSpaceDE w:val="0"/>
              <w:autoSpaceDN w:val="0"/>
              <w:adjustRightInd w:val="0"/>
              <w:spacing w:after="0"/>
            </w:pPr>
            <w:r>
              <w:fldChar w:fldCharType="end"/>
            </w:r>
            <w:r w:rsidRPr="005F7DA8">
              <w:rPr>
                <w:noProof w:val="0"/>
                <w:color w:val="auto"/>
                <w:lang w:eastAsia="en-US"/>
              </w:rPr>
              <w:t xml:space="preserve">Remember, </w:t>
            </w:r>
            <w:r>
              <w:rPr>
                <w:noProof w:val="0"/>
                <w:color w:val="auto"/>
                <w:lang w:eastAsia="en-US"/>
              </w:rPr>
              <w:t>any contributions you make to your plan are invested meaning the value can go up, it can also go down and you could get back less than you invested.</w:t>
            </w:r>
          </w:p>
          <w:p w14:paraId="0E02CBAE" w14:textId="77777777" w:rsidR="009B2E24" w:rsidRDefault="009B2E24" w:rsidP="009B2E24">
            <w:pPr>
              <w:pStyle w:val="NoSpacing"/>
            </w:pPr>
          </w:p>
          <w:p w14:paraId="1C4C8F81" w14:textId="77777777" w:rsidR="009B2E24" w:rsidRPr="001E3982" w:rsidRDefault="009B2E24" w:rsidP="009B2E2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color w:val="470054"/>
              </w:rPr>
              <w:t>Need further help?</w:t>
            </w:r>
          </w:p>
          <w:p w14:paraId="402A11AB" w14:textId="77777777" w:rsidR="009B2E24" w:rsidRPr="00E30514" w:rsidRDefault="009B2E24" w:rsidP="009B2E24">
            <w:pPr>
              <w:pStyle w:val="NoSpacing"/>
            </w:pPr>
          </w:p>
          <w:p w14:paraId="28F4A3BD" w14:textId="77777777" w:rsidR="009B2E24" w:rsidRPr="00460508" w:rsidRDefault="009B2E24" w:rsidP="009B2E24">
            <w:r w:rsidRPr="00460508">
              <w:t>If you need any help making decisions about your plan you should speak to a financial adviser. If you don’t already have a financial adviser, you can find one in your area by visiting</w:t>
            </w:r>
            <w:r>
              <w:t xml:space="preserve"> </w:t>
            </w:r>
            <w:hyperlink r:id="rId12" w:history="1">
              <w:r w:rsidRPr="0090119D">
                <w:rPr>
                  <w:rStyle w:val="Hyperlink"/>
                </w:rPr>
                <w:t>royallondon.com/find-a-financial-adviser</w:t>
              </w:r>
            </w:hyperlink>
            <w:r w:rsidRPr="00460508">
              <w:t>. Advisers may charge for their services – though they should agree any fees with you upfront.</w:t>
            </w:r>
          </w:p>
          <w:p w14:paraId="4C3A629A" w14:textId="77777777" w:rsidR="009B2E24" w:rsidRDefault="009B2E24" w:rsidP="009B2E24">
            <w:r>
              <w:t>Yours sincerely,</w:t>
            </w:r>
          </w:p>
          <w:p w14:paraId="76E578B9" w14:textId="77777777" w:rsidR="009B2E24" w:rsidRDefault="009B2E24" w:rsidP="009B2E24">
            <w:pPr>
              <w:rPr>
                <w:rStyle w:val="Heading2Char"/>
              </w:rPr>
            </w:pPr>
            <w:r>
              <w:rPr>
                <w:rStyle w:val="Heading2Char"/>
                <w:highlight w:val="yellow"/>
              </w:rPr>
              <w:t>[Name Surname]</w:t>
            </w:r>
          </w:p>
          <w:p w14:paraId="5C5535AF" w14:textId="77777777" w:rsidR="009B2E24" w:rsidRDefault="009B2E24" w:rsidP="009B2E24">
            <w:pPr>
              <w:pStyle w:val="NoSpacing"/>
              <w:rPr>
                <w:rStyle w:val="Heading2Char"/>
              </w:rPr>
            </w:pPr>
            <w:r>
              <w:rPr>
                <w:rStyle w:val="Heading2Char"/>
                <w:highlight w:val="yellow"/>
              </w:rPr>
              <w:t>[name.surname@email.com]</w:t>
            </w:r>
          </w:p>
          <w:p w14:paraId="79001804" w14:textId="77777777" w:rsidR="00070E0F" w:rsidRDefault="00070E0F" w:rsidP="00460508">
            <w:pPr>
              <w:rPr>
                <w:rStyle w:val="Heading2Char"/>
              </w:rPr>
            </w:pPr>
          </w:p>
          <w:p w14:paraId="3DBE4E14" w14:textId="68D43E3E" w:rsidR="00070E0F" w:rsidRPr="009B2E24" w:rsidRDefault="00070E0F" w:rsidP="00460508">
            <w:pPr>
              <w:rPr>
                <w:rStyle w:val="Hyperlink"/>
                <w:b/>
                <w:bCs/>
                <w:color w:val="470054"/>
                <w:u w:val="none"/>
              </w:rPr>
            </w:pPr>
            <w:r>
              <w:rPr>
                <w:b/>
                <w:bCs/>
                <w:color w:val="470054"/>
              </w:rPr>
              <w:drawing>
                <wp:inline distT="0" distB="0" distL="0" distR="0" wp14:anchorId="3B0B1D17" wp14:editId="4BE01884">
                  <wp:extent cx="5534025" cy="1428750"/>
                  <wp:effectExtent l="0" t="0" r="9525" b="0"/>
                  <wp:docPr id="1005772047" name="Picture 1" descr="A purple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72047" name="Picture 1" descr="A purple sign with white text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E0E22" w14:textId="72E9DAEE" w:rsidR="00070E0F" w:rsidRPr="00070E0F" w:rsidRDefault="00070E0F" w:rsidP="00070E0F">
            <w:pPr>
              <w:rPr>
                <w:rStyle w:val="Hyperlink"/>
                <w:rFonts w:ascii="Arial Bold" w:hAnsi="Arial Bold"/>
                <w:b/>
                <w:bCs/>
                <w:color w:val="222222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 Bold" w:hAnsi="Arial Bold"/>
                <w:b/>
                <w:bCs/>
                <w:color w:val="222222"/>
                <w:sz w:val="20"/>
                <w:szCs w:val="20"/>
                <w:u w:val="none"/>
              </w:rPr>
              <w:t>January 2026                                                                                                         E P EM 0</w:t>
            </w:r>
            <w:r w:rsidR="004735F5">
              <w:rPr>
                <w:rStyle w:val="Hyperlink"/>
                <w:rFonts w:ascii="Arial Bold" w:hAnsi="Arial Bold"/>
                <w:b/>
                <w:bCs/>
                <w:color w:val="222222"/>
                <w:sz w:val="20"/>
                <w:szCs w:val="20"/>
                <w:u w:val="none"/>
              </w:rPr>
              <w:t>499/7</w:t>
            </w:r>
          </w:p>
        </w:tc>
      </w:tr>
      <w:tr w:rsidR="00070E0F" w14:paraId="7228228C" w14:textId="77777777" w:rsidTr="00070E0F">
        <w:tc>
          <w:tcPr>
            <w:tcW w:w="9070" w:type="dxa"/>
            <w:shd w:val="clear" w:color="auto" w:fill="FFFFFF" w:themeFill="background1"/>
            <w:tcMar>
              <w:top w:w="567" w:type="dxa"/>
              <w:left w:w="284" w:type="dxa"/>
              <w:bottom w:w="567" w:type="dxa"/>
              <w:right w:w="284" w:type="dxa"/>
            </w:tcMar>
          </w:tcPr>
          <w:p w14:paraId="68752C0F" w14:textId="77777777" w:rsidR="00070E0F" w:rsidRPr="004931B6" w:rsidRDefault="00070E0F" w:rsidP="004931B6">
            <w:pPr>
              <w:pStyle w:val="Heading1"/>
            </w:pPr>
          </w:p>
        </w:tc>
      </w:tr>
      <w:bookmarkEnd w:id="0"/>
    </w:tbl>
    <w:p w14:paraId="5E5AFDFB" w14:textId="506759DA" w:rsidR="00252A81" w:rsidRPr="00DE1CEF" w:rsidRDefault="00252A81" w:rsidP="009326FD"/>
    <w:sectPr w:rsidR="00252A81" w:rsidRPr="00DE1CEF" w:rsidSect="00102B1A">
      <w:headerReference w:type="default" r:id="rId14"/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35A5" w14:textId="77777777" w:rsidR="00FA052E" w:rsidRDefault="00FA052E" w:rsidP="009326FD">
      <w:r>
        <w:separator/>
      </w:r>
    </w:p>
  </w:endnote>
  <w:endnote w:type="continuationSeparator" w:id="0">
    <w:p w14:paraId="6A8BED5D" w14:textId="77777777" w:rsidR="00FA052E" w:rsidRDefault="00FA052E" w:rsidP="0093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EB19" w14:textId="77777777" w:rsidR="00FA052E" w:rsidRDefault="00FA052E" w:rsidP="009326FD">
      <w:r>
        <w:separator/>
      </w:r>
    </w:p>
  </w:footnote>
  <w:footnote w:type="continuationSeparator" w:id="0">
    <w:p w14:paraId="3A7C68DB" w14:textId="77777777" w:rsidR="00FA052E" w:rsidRDefault="00FA052E" w:rsidP="0093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9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70054"/>
      <w:tblCellMar>
        <w:top w:w="284" w:type="dxa"/>
        <w:left w:w="567" w:type="dxa"/>
        <w:bottom w:w="284" w:type="dxa"/>
        <w:right w:w="567" w:type="dxa"/>
      </w:tblCellMar>
      <w:tblLook w:val="04A0" w:firstRow="1" w:lastRow="0" w:firstColumn="1" w:lastColumn="0" w:noHBand="0" w:noVBand="1"/>
    </w:tblPr>
    <w:tblGrid>
      <w:gridCol w:w="11907"/>
    </w:tblGrid>
    <w:tr w:rsidR="00996F76" w:rsidRPr="00996F76" w14:paraId="1135D5F7" w14:textId="77777777" w:rsidTr="009A36E7">
      <w:trPr>
        <w:jc w:val="center"/>
      </w:trPr>
      <w:tc>
        <w:tcPr>
          <w:tcW w:w="9060" w:type="dxa"/>
          <w:shd w:val="clear" w:color="auto" w:fill="470054"/>
        </w:tcPr>
        <w:p w14:paraId="2D6184F1" w14:textId="5E6B8673" w:rsidR="00996F76" w:rsidRPr="009326FD" w:rsidRDefault="00996F76" w:rsidP="004931B6">
          <w:pPr>
            <w:pStyle w:val="Header"/>
          </w:pPr>
          <w:r w:rsidRPr="009326FD">
            <w:t>[</w:t>
          </w:r>
          <w:r w:rsidR="00460508" w:rsidRPr="00460508">
            <w:t>This wording has been approved for use by Royal London in its current format, please only alter</w:t>
          </w:r>
          <w:r w:rsidR="00E4174A">
            <w:t xml:space="preserve"> highlighted wording</w:t>
          </w:r>
          <w:r w:rsidR="00460508" w:rsidRPr="00460508">
            <w:t>. You can right-click the banner image and choose ‘Save as picture…’ to download it</w:t>
          </w:r>
          <w:r w:rsidR="00460508">
            <w:t>]</w:t>
          </w:r>
        </w:p>
      </w:tc>
    </w:tr>
  </w:tbl>
  <w:p w14:paraId="528636E8" w14:textId="4D4CE560" w:rsidR="00996F76" w:rsidRPr="00996F76" w:rsidRDefault="00996F76" w:rsidP="00493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4704D"/>
    <w:multiLevelType w:val="hybridMultilevel"/>
    <w:tmpl w:val="1C902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70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DB"/>
    <w:rsid w:val="0002526A"/>
    <w:rsid w:val="00026DF3"/>
    <w:rsid w:val="00070E0F"/>
    <w:rsid w:val="0007128A"/>
    <w:rsid w:val="00071A3A"/>
    <w:rsid w:val="00077D3E"/>
    <w:rsid w:val="00085940"/>
    <w:rsid w:val="00086228"/>
    <w:rsid w:val="000C621A"/>
    <w:rsid w:val="000D3ADC"/>
    <w:rsid w:val="000E3931"/>
    <w:rsid w:val="000E7EE4"/>
    <w:rsid w:val="000F282B"/>
    <w:rsid w:val="000F5048"/>
    <w:rsid w:val="00102B1A"/>
    <w:rsid w:val="0011660E"/>
    <w:rsid w:val="001D4F73"/>
    <w:rsid w:val="00210A06"/>
    <w:rsid w:val="00211DD1"/>
    <w:rsid w:val="002133FB"/>
    <w:rsid w:val="00217764"/>
    <w:rsid w:val="00220E2A"/>
    <w:rsid w:val="00225A21"/>
    <w:rsid w:val="002276BB"/>
    <w:rsid w:val="00240B11"/>
    <w:rsid w:val="00246C00"/>
    <w:rsid w:val="00252A81"/>
    <w:rsid w:val="00281676"/>
    <w:rsid w:val="00285C80"/>
    <w:rsid w:val="002B24D8"/>
    <w:rsid w:val="002D6C07"/>
    <w:rsid w:val="00300EB5"/>
    <w:rsid w:val="00301C24"/>
    <w:rsid w:val="003258D5"/>
    <w:rsid w:val="003261E7"/>
    <w:rsid w:val="003323E7"/>
    <w:rsid w:val="0033469B"/>
    <w:rsid w:val="0033673D"/>
    <w:rsid w:val="00336909"/>
    <w:rsid w:val="003373F1"/>
    <w:rsid w:val="00346629"/>
    <w:rsid w:val="00347085"/>
    <w:rsid w:val="003631AE"/>
    <w:rsid w:val="003A6DDA"/>
    <w:rsid w:val="003B765E"/>
    <w:rsid w:val="003D4520"/>
    <w:rsid w:val="00406A85"/>
    <w:rsid w:val="00426F16"/>
    <w:rsid w:val="004536C7"/>
    <w:rsid w:val="004564E7"/>
    <w:rsid w:val="00460508"/>
    <w:rsid w:val="00470DCD"/>
    <w:rsid w:val="004735F5"/>
    <w:rsid w:val="004931B6"/>
    <w:rsid w:val="004D2168"/>
    <w:rsid w:val="004D49C5"/>
    <w:rsid w:val="004F2EDD"/>
    <w:rsid w:val="00504363"/>
    <w:rsid w:val="00504EE9"/>
    <w:rsid w:val="00506FC2"/>
    <w:rsid w:val="0051336A"/>
    <w:rsid w:val="00523893"/>
    <w:rsid w:val="0054041F"/>
    <w:rsid w:val="005545DB"/>
    <w:rsid w:val="00575276"/>
    <w:rsid w:val="00586B4F"/>
    <w:rsid w:val="0059426A"/>
    <w:rsid w:val="005B55FB"/>
    <w:rsid w:val="005C537B"/>
    <w:rsid w:val="005C6704"/>
    <w:rsid w:val="005F7DA8"/>
    <w:rsid w:val="006004DB"/>
    <w:rsid w:val="00630E15"/>
    <w:rsid w:val="0063533F"/>
    <w:rsid w:val="0063593B"/>
    <w:rsid w:val="006644D4"/>
    <w:rsid w:val="006804EF"/>
    <w:rsid w:val="00680A3F"/>
    <w:rsid w:val="006979D8"/>
    <w:rsid w:val="006B07BB"/>
    <w:rsid w:val="006D07EA"/>
    <w:rsid w:val="006D7290"/>
    <w:rsid w:val="006E354C"/>
    <w:rsid w:val="006F5B0D"/>
    <w:rsid w:val="00701FC6"/>
    <w:rsid w:val="00703B17"/>
    <w:rsid w:val="00730E95"/>
    <w:rsid w:val="007508EE"/>
    <w:rsid w:val="00751A14"/>
    <w:rsid w:val="007A13D8"/>
    <w:rsid w:val="007A2B8A"/>
    <w:rsid w:val="007B381D"/>
    <w:rsid w:val="007D28D7"/>
    <w:rsid w:val="007D5A92"/>
    <w:rsid w:val="007F4699"/>
    <w:rsid w:val="008010C8"/>
    <w:rsid w:val="00812022"/>
    <w:rsid w:val="008719C0"/>
    <w:rsid w:val="00876CA7"/>
    <w:rsid w:val="008A13A3"/>
    <w:rsid w:val="008A4CED"/>
    <w:rsid w:val="008E0DF2"/>
    <w:rsid w:val="0090119D"/>
    <w:rsid w:val="00931DB8"/>
    <w:rsid w:val="009325C6"/>
    <w:rsid w:val="009326FD"/>
    <w:rsid w:val="00936796"/>
    <w:rsid w:val="00942290"/>
    <w:rsid w:val="00996F76"/>
    <w:rsid w:val="009A36E7"/>
    <w:rsid w:val="009B0431"/>
    <w:rsid w:val="009B2E24"/>
    <w:rsid w:val="009B43F2"/>
    <w:rsid w:val="009B4BC8"/>
    <w:rsid w:val="009B6B09"/>
    <w:rsid w:val="009C77D6"/>
    <w:rsid w:val="009D4475"/>
    <w:rsid w:val="009D557D"/>
    <w:rsid w:val="009E35D0"/>
    <w:rsid w:val="00A00927"/>
    <w:rsid w:val="00A04085"/>
    <w:rsid w:val="00A04926"/>
    <w:rsid w:val="00A12741"/>
    <w:rsid w:val="00A15C3B"/>
    <w:rsid w:val="00A16D99"/>
    <w:rsid w:val="00A40349"/>
    <w:rsid w:val="00A53985"/>
    <w:rsid w:val="00A54335"/>
    <w:rsid w:val="00A75CCE"/>
    <w:rsid w:val="00AB2185"/>
    <w:rsid w:val="00AB48FB"/>
    <w:rsid w:val="00AC0040"/>
    <w:rsid w:val="00AF2334"/>
    <w:rsid w:val="00B34310"/>
    <w:rsid w:val="00B41049"/>
    <w:rsid w:val="00B5658B"/>
    <w:rsid w:val="00B657DC"/>
    <w:rsid w:val="00B66A4B"/>
    <w:rsid w:val="00B92A1E"/>
    <w:rsid w:val="00B944DE"/>
    <w:rsid w:val="00BA6DF0"/>
    <w:rsid w:val="00BD54F9"/>
    <w:rsid w:val="00BE45AB"/>
    <w:rsid w:val="00BE4B8C"/>
    <w:rsid w:val="00BE4EE8"/>
    <w:rsid w:val="00BF18FF"/>
    <w:rsid w:val="00BF2299"/>
    <w:rsid w:val="00C24D01"/>
    <w:rsid w:val="00C3425D"/>
    <w:rsid w:val="00C56CD4"/>
    <w:rsid w:val="00C61D5C"/>
    <w:rsid w:val="00C73461"/>
    <w:rsid w:val="00C91C6A"/>
    <w:rsid w:val="00CA3643"/>
    <w:rsid w:val="00CA5DC8"/>
    <w:rsid w:val="00CB5379"/>
    <w:rsid w:val="00CD57E5"/>
    <w:rsid w:val="00CD6E57"/>
    <w:rsid w:val="00CE5A93"/>
    <w:rsid w:val="00CF0C68"/>
    <w:rsid w:val="00CF34B5"/>
    <w:rsid w:val="00CF4F70"/>
    <w:rsid w:val="00D03A5A"/>
    <w:rsid w:val="00D2104A"/>
    <w:rsid w:val="00D310C2"/>
    <w:rsid w:val="00D556B3"/>
    <w:rsid w:val="00D810CD"/>
    <w:rsid w:val="00D8681B"/>
    <w:rsid w:val="00D86E07"/>
    <w:rsid w:val="00DA647E"/>
    <w:rsid w:val="00DC507E"/>
    <w:rsid w:val="00DD3965"/>
    <w:rsid w:val="00DE1CEF"/>
    <w:rsid w:val="00DE2904"/>
    <w:rsid w:val="00DE45F2"/>
    <w:rsid w:val="00DE6C02"/>
    <w:rsid w:val="00DF20DB"/>
    <w:rsid w:val="00DF62CB"/>
    <w:rsid w:val="00E237BD"/>
    <w:rsid w:val="00E40DA2"/>
    <w:rsid w:val="00E4132D"/>
    <w:rsid w:val="00E4174A"/>
    <w:rsid w:val="00E44D97"/>
    <w:rsid w:val="00E62BD8"/>
    <w:rsid w:val="00E763B0"/>
    <w:rsid w:val="00EC32D2"/>
    <w:rsid w:val="00ED4487"/>
    <w:rsid w:val="00EE311A"/>
    <w:rsid w:val="00EF5041"/>
    <w:rsid w:val="00EF714A"/>
    <w:rsid w:val="00F01D9D"/>
    <w:rsid w:val="00F27387"/>
    <w:rsid w:val="00F30E45"/>
    <w:rsid w:val="00F32956"/>
    <w:rsid w:val="00F502F7"/>
    <w:rsid w:val="00F80F7B"/>
    <w:rsid w:val="00F81DD2"/>
    <w:rsid w:val="00F934AE"/>
    <w:rsid w:val="00FA052E"/>
    <w:rsid w:val="00FA665E"/>
    <w:rsid w:val="00FB2858"/>
    <w:rsid w:val="00FD1A09"/>
    <w:rsid w:val="00FD3E8A"/>
    <w:rsid w:val="00FD6818"/>
    <w:rsid w:val="00FE3700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7FB89"/>
  <w15:docId w15:val="{1B47B932-3DEC-496A-9F54-D9D0747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B6"/>
    <w:pPr>
      <w:spacing w:after="240" w:line="240" w:lineRule="auto"/>
    </w:pPr>
    <w:rPr>
      <w:rFonts w:ascii="Arial" w:hAnsi="Arial" w:cs="Arial"/>
      <w:noProof/>
      <w:color w:val="222222"/>
      <w:sz w:val="28"/>
      <w:szCs w:val="28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1B6"/>
    <w:pPr>
      <w:outlineLvl w:val="0"/>
    </w:pPr>
    <w:rPr>
      <w:rFonts w:ascii="Georgia" w:hAnsi="Georgia"/>
      <w:color w:val="47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CED"/>
    <w:pPr>
      <w:outlineLvl w:val="1"/>
    </w:pPr>
    <w:rPr>
      <w:b/>
      <w:bCs/>
      <w:color w:val="4700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931B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DF2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0DB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0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D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E95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unhideWhenUsed/>
    <w:rsid w:val="009D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A75CCE"/>
    <w:rPr>
      <w:color w:val="00676E"/>
      <w:u w:val="single"/>
    </w:rPr>
  </w:style>
  <w:style w:type="paragraph" w:styleId="Header">
    <w:name w:val="header"/>
    <w:basedOn w:val="NoSpacing"/>
    <w:link w:val="HeaderChar"/>
    <w:uiPriority w:val="99"/>
    <w:unhideWhenUsed/>
    <w:rsid w:val="009326FD"/>
    <w:rPr>
      <w:color w:val="FFFFFF" w:themeColor="background1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326FD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qFormat/>
    <w:rsid w:val="009326FD"/>
    <w:pPr>
      <w:tabs>
        <w:tab w:val="center" w:pos="4513"/>
        <w:tab w:val="right" w:pos="9026"/>
      </w:tabs>
      <w:spacing w:after="0"/>
    </w:pPr>
    <w:rPr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26FD"/>
    <w:rPr>
      <w:rFonts w:ascii="Arial" w:hAnsi="Arial" w:cs="Arial"/>
      <w:noProof/>
      <w:color w:val="FFFFFF" w:themeColor="background1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rsid w:val="00A040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6C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6B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4CED"/>
    <w:rPr>
      <w:rFonts w:ascii="Arial" w:hAnsi="Arial" w:cs="Arial"/>
      <w:b/>
      <w:bCs/>
      <w:noProof/>
      <w:color w:val="470054"/>
      <w:sz w:val="28"/>
      <w:szCs w:val="28"/>
      <w:lang w:eastAsia="en-GB"/>
    </w:rPr>
  </w:style>
  <w:style w:type="character" w:styleId="Emphasis">
    <w:name w:val="Emphasis"/>
    <w:uiPriority w:val="20"/>
    <w:qFormat/>
    <w:rsid w:val="004931B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1B6"/>
    <w:rPr>
      <w:rFonts w:ascii="Georgia" w:hAnsi="Georgia" w:cs="Arial"/>
      <w:noProof/>
      <w:color w:val="470054"/>
      <w:sz w:val="40"/>
      <w:szCs w:val="40"/>
      <w:lang w:eastAsia="en-GB"/>
    </w:rPr>
  </w:style>
  <w:style w:type="paragraph" w:styleId="NormalWeb">
    <w:name w:val="Normal (Web)"/>
    <w:basedOn w:val="Normal"/>
    <w:uiPriority w:val="99"/>
    <w:unhideWhenUsed/>
    <w:rsid w:val="00A0092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oyallondon.com/find-a-financial-advise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ourplan.royallondon.com/Contributions/What-is-tax-relief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oyallondon.com/guides-tools/pension-guides/pension-basics/power-up-your-pension-with-a-single-contribu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yallondon.com/guides-tools/pension-guides/pension-basics/pension-allowance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2283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London Group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Susan M L Cunningham</cp:lastModifiedBy>
  <cp:revision>2</cp:revision>
  <cp:lastPrinted>2020-02-12T15:28:00Z</cp:lastPrinted>
  <dcterms:created xsi:type="dcterms:W3CDTF">2026-01-14T16:44:00Z</dcterms:created>
  <dcterms:modified xsi:type="dcterms:W3CDTF">2026-01-14T16:44:00Z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44acdb-dec2-466c-af47-033bac23723b_Enabled">
    <vt:lpwstr>true</vt:lpwstr>
  </property>
  <property fmtid="{D5CDD505-2E9C-101B-9397-08002B2CF9AE}" pid="3" name="MSIP_Label_8f44acdb-dec2-466c-af47-033bac23723b_SetDate">
    <vt:lpwstr>2022-12-01T11:21:02Z</vt:lpwstr>
  </property>
  <property fmtid="{D5CDD505-2E9C-101B-9397-08002B2CF9AE}" pid="4" name="MSIP_Label_8f44acdb-dec2-466c-af47-033bac23723b_Method">
    <vt:lpwstr>Privileged</vt:lpwstr>
  </property>
  <property fmtid="{D5CDD505-2E9C-101B-9397-08002B2CF9AE}" pid="5" name="MSIP_Label_8f44acdb-dec2-466c-af47-033bac23723b_Name">
    <vt:lpwstr>Public</vt:lpwstr>
  </property>
  <property fmtid="{D5CDD505-2E9C-101B-9397-08002B2CF9AE}" pid="6" name="MSIP_Label_8f44acdb-dec2-466c-af47-033bac23723b_SiteId">
    <vt:lpwstr>f9daae82-4727-4163-93b9-2214828e3dba</vt:lpwstr>
  </property>
  <property fmtid="{D5CDD505-2E9C-101B-9397-08002B2CF9AE}" pid="7" name="MSIP_Label_8f44acdb-dec2-466c-af47-033bac23723b_ActionId">
    <vt:lpwstr>e3a40403-31d6-41cb-acbe-fdb67671f32b</vt:lpwstr>
  </property>
  <property fmtid="{D5CDD505-2E9C-101B-9397-08002B2CF9AE}" pid="8" name="MSIP_Label_8f44acdb-dec2-466c-af47-033bac23723b_ContentBits">
    <vt:lpwstr>0</vt:lpwstr>
  </property>
</Properties>
</file>