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788"/>
        <w:gridCol w:w="4292"/>
      </w:tblGrid>
      <w:tr w:rsidR="00DE1CEF" w14:paraId="2C632FD0" w14:textId="77777777" w:rsidTr="000E6385">
        <w:tc>
          <w:tcPr>
            <w:tcW w:w="9080" w:type="dxa"/>
            <w:gridSpan w:val="2"/>
            <w:shd w:val="clear" w:color="auto" w:fill="FFFFFF" w:themeFill="background1"/>
          </w:tcPr>
          <w:p w14:paraId="121AE22A" w14:textId="75979D05" w:rsidR="00DE1CEF" w:rsidRDefault="00E57FA8" w:rsidP="005C537B">
            <w:pPr>
              <w:pStyle w:val="NoSpacing"/>
            </w:pPr>
            <w:bookmarkStart w:id="0" w:name="_Hlk41991412"/>
            <w:r w:rsidRPr="00E57FA8">
              <w:rPr>
                <w:noProof/>
              </w:rPr>
              <w:drawing>
                <wp:inline distT="0" distB="0" distL="0" distR="0" wp14:anchorId="1D54C910" wp14:editId="527D86FF">
                  <wp:extent cx="5524500" cy="2762250"/>
                  <wp:effectExtent l="0" t="0" r="0" b="0"/>
                  <wp:docPr id="295915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524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26534" cy="2763267"/>
                          </a:xfrm>
                          <a:prstGeom prst="rect">
                            <a:avLst/>
                          </a:prstGeom>
                          <a:noFill/>
                          <a:ln>
                            <a:noFill/>
                          </a:ln>
                        </pic:spPr>
                      </pic:pic>
                    </a:graphicData>
                  </a:graphic>
                </wp:inline>
              </w:drawing>
            </w:r>
          </w:p>
        </w:tc>
      </w:tr>
      <w:tr w:rsidR="00DE1CEF" w14:paraId="25E12ACF" w14:textId="77777777" w:rsidTr="000E6385">
        <w:tc>
          <w:tcPr>
            <w:tcW w:w="9080" w:type="dxa"/>
            <w:gridSpan w:val="2"/>
            <w:tcBorders>
              <w:bottom w:val="nil"/>
            </w:tcBorders>
            <w:shd w:val="clear" w:color="auto" w:fill="FFFFFF" w:themeFill="background1"/>
            <w:tcMar>
              <w:top w:w="567" w:type="dxa"/>
              <w:left w:w="284" w:type="dxa"/>
              <w:bottom w:w="567" w:type="dxa"/>
              <w:right w:w="284" w:type="dxa"/>
            </w:tcMar>
          </w:tcPr>
          <w:p w14:paraId="71D5C56A" w14:textId="77777777" w:rsidR="009B4BC8" w:rsidRPr="00E7458F" w:rsidRDefault="009B4BC8" w:rsidP="00E7458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596C650C" w14:textId="77777777" w:rsidR="004D012C" w:rsidRPr="004D012C" w:rsidRDefault="004D012C" w:rsidP="004D012C">
            <w:pPr>
              <w:rPr>
                <w:rFonts w:ascii="Georgia" w:hAnsi="Georgia"/>
                <w:color w:val="333333"/>
              </w:rPr>
            </w:pPr>
            <w:r w:rsidRPr="004D012C">
              <w:rPr>
                <w:rFonts w:ascii="Georgia" w:hAnsi="Georgia"/>
                <w:color w:val="333333"/>
              </w:rPr>
              <w:t xml:space="preserve">With the Royal London </w:t>
            </w:r>
            <w:proofErr w:type="gramStart"/>
            <w:r w:rsidRPr="004D012C">
              <w:rPr>
                <w:rFonts w:ascii="Georgia" w:hAnsi="Georgia"/>
                <w:color w:val="333333"/>
              </w:rPr>
              <w:t>app</w:t>
            </w:r>
            <w:proofErr w:type="gramEnd"/>
            <w:r w:rsidRPr="004D012C">
              <w:rPr>
                <w:rFonts w:ascii="Georgia" w:hAnsi="Georgia"/>
                <w:color w:val="333333"/>
              </w:rPr>
              <w:t xml:space="preserve"> you can:</w:t>
            </w:r>
          </w:p>
          <w:p w14:paraId="2E6D528E" w14:textId="77777777" w:rsidR="004D012C" w:rsidRPr="00DB41A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See your contributions.</w:t>
            </w:r>
          </w:p>
          <w:p w14:paraId="3304D938" w14:textId="77777777" w:rsidR="004D012C" w:rsidRPr="00DB41A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Stay up to date with your pension savings.</w:t>
            </w:r>
          </w:p>
          <w:p w14:paraId="5C0E05B2" w14:textId="77777777" w:rsidR="004D012C" w:rsidRPr="00DB41A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See what your plan could be worth in the future.</w:t>
            </w:r>
          </w:p>
          <w:p w14:paraId="20FD5B07" w14:textId="77777777" w:rsidR="004D012C" w:rsidRPr="00DB41A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Add your beneficiaries.</w:t>
            </w:r>
          </w:p>
          <w:p w14:paraId="3299DB75" w14:textId="77777777" w:rsidR="004D012C" w:rsidRPr="00DB41A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See your investments in more detail.</w:t>
            </w:r>
          </w:p>
          <w:p w14:paraId="5384EF05" w14:textId="77777777" w:rsidR="004D012C" w:rsidRDefault="004D012C" w:rsidP="00DB41AC">
            <w:pPr>
              <w:pStyle w:val="ListParagraph"/>
              <w:numPr>
                <w:ilvl w:val="0"/>
                <w:numId w:val="2"/>
              </w:numPr>
              <w:rPr>
                <w:rFonts w:ascii="Georgia" w:hAnsi="Georgia"/>
                <w:noProof/>
                <w:color w:val="333333"/>
              </w:rPr>
            </w:pPr>
            <w:r w:rsidRPr="00DB41AC">
              <w:rPr>
                <w:rFonts w:ascii="Georgia" w:hAnsi="Georgia"/>
                <w:noProof/>
                <w:color w:val="333333"/>
              </w:rPr>
              <w:t>Transfer other pension savings you have to your Royal London plan, if it’s right for you.</w:t>
            </w:r>
          </w:p>
          <w:p w14:paraId="623199D1" w14:textId="253288A3" w:rsidR="00DB41AC" w:rsidRPr="00DB41AC" w:rsidRDefault="00DB41AC" w:rsidP="00DB41AC">
            <w:pPr>
              <w:rPr>
                <w:rFonts w:ascii="Georgia" w:hAnsi="Georgia"/>
                <w:noProof/>
                <w:color w:val="333333"/>
              </w:rPr>
            </w:pPr>
            <w:r w:rsidRPr="00DB41AC">
              <w:rPr>
                <w:rFonts w:ascii="Georgia" w:hAnsi="Georgia"/>
                <w:noProof/>
                <w:color w:val="333333"/>
              </w:rPr>
              <w:t xml:space="preserve">Remember, </w:t>
            </w:r>
            <w:r>
              <w:rPr>
                <w:rFonts w:ascii="Georgia" w:hAnsi="Georgia"/>
                <w:noProof/>
                <w:color w:val="333333"/>
              </w:rPr>
              <w:t>future</w:t>
            </w:r>
            <w:r w:rsidRPr="00DB41AC">
              <w:rPr>
                <w:rFonts w:ascii="Georgia" w:hAnsi="Georgia"/>
                <w:noProof/>
                <w:color w:val="333333"/>
              </w:rPr>
              <w:t xml:space="preserve"> </w:t>
            </w:r>
            <w:r>
              <w:rPr>
                <w:rFonts w:ascii="Georgia" w:hAnsi="Georgia"/>
                <w:noProof/>
                <w:color w:val="333333"/>
              </w:rPr>
              <w:t xml:space="preserve">pension values shown in the app </w:t>
            </w:r>
            <w:r w:rsidRPr="00DB41AC">
              <w:rPr>
                <w:rFonts w:ascii="Georgia" w:hAnsi="Georgia"/>
                <w:noProof/>
                <w:color w:val="333333"/>
              </w:rPr>
              <w:t>are just estimates – your pension's value can change over time, both up and down.</w:t>
            </w:r>
          </w:p>
          <w:p w14:paraId="7D85305B" w14:textId="77777777" w:rsidR="004D012C" w:rsidRPr="004D012C" w:rsidRDefault="004D012C" w:rsidP="004D012C">
            <w:pPr>
              <w:rPr>
                <w:rFonts w:ascii="Georgia" w:hAnsi="Georgia"/>
                <w:color w:val="333333"/>
              </w:rPr>
            </w:pPr>
            <w:hyperlink r:id="rId9" w:history="1">
              <w:r w:rsidRPr="004D012C">
                <w:rPr>
                  <w:rStyle w:val="Hyperlink"/>
                  <w:rFonts w:ascii="Georgia" w:hAnsi="Georgia"/>
                </w:rPr>
                <w:t>Watch this short animation</w:t>
              </w:r>
            </w:hyperlink>
            <w:r w:rsidRPr="004D012C">
              <w:rPr>
                <w:rFonts w:ascii="Georgia" w:hAnsi="Georgia"/>
                <w:color w:val="333333"/>
              </w:rPr>
              <w:t xml:space="preserve"> to find out more about the app.</w:t>
            </w:r>
          </w:p>
          <w:p w14:paraId="799CFC08" w14:textId="77777777" w:rsidR="004D012C" w:rsidRPr="004D012C" w:rsidRDefault="004D012C" w:rsidP="004D012C">
            <w:pPr>
              <w:rPr>
                <w:color w:val="333333"/>
              </w:rPr>
            </w:pPr>
            <w:r w:rsidRPr="004D012C">
              <w:rPr>
                <w:rStyle w:val="Heading2Char"/>
              </w:rPr>
              <w:t>Getting started</w:t>
            </w:r>
          </w:p>
          <w:p w14:paraId="167DAB2E" w14:textId="77777777" w:rsidR="004D012C" w:rsidRPr="004D012C" w:rsidRDefault="004D012C" w:rsidP="004D012C">
            <w:pPr>
              <w:rPr>
                <w:rFonts w:ascii="Georgia" w:hAnsi="Georgia"/>
                <w:color w:val="333333"/>
              </w:rPr>
            </w:pPr>
            <w:r w:rsidRPr="004D012C">
              <w:rPr>
                <w:rFonts w:ascii="Georgia" w:hAnsi="Georgia"/>
                <w:color w:val="333333"/>
              </w:rPr>
              <w:t>Download the Royal London app for free on the App Store or Google Play.</w:t>
            </w:r>
          </w:p>
          <w:p w14:paraId="34A3D6C7" w14:textId="0678D4F3" w:rsidR="00617030" w:rsidRDefault="004D012C" w:rsidP="00DB41AC">
            <w:pPr>
              <w:rPr>
                <w:rFonts w:ascii="Georgia" w:hAnsi="Georgia"/>
                <w:b/>
                <w:bCs/>
                <w:color w:val="333333"/>
              </w:rPr>
            </w:pPr>
            <w:r w:rsidRPr="004D012C">
              <w:rPr>
                <w:rFonts w:ascii="Georgia" w:hAnsi="Georgia"/>
                <w:b/>
                <w:bCs/>
                <w:color w:val="333333"/>
              </w:rPr>
              <w:t xml:space="preserve">Royal London </w:t>
            </w:r>
            <w:r w:rsidR="00DB41AC" w:rsidRPr="00DB41AC">
              <w:rPr>
                <w:rFonts w:ascii="Georgia" w:hAnsi="Georgia"/>
                <w:b/>
                <w:bCs/>
                <w:color w:val="333333"/>
              </w:rPr>
              <w:t xml:space="preserve">regularly </w:t>
            </w:r>
            <w:r w:rsidR="00B80472" w:rsidRPr="00DB41AC">
              <w:rPr>
                <w:rFonts w:ascii="Georgia" w:hAnsi="Georgia"/>
                <w:b/>
                <w:bCs/>
                <w:color w:val="333333"/>
              </w:rPr>
              <w:t>updates</w:t>
            </w:r>
            <w:r w:rsidR="00DB41AC" w:rsidRPr="00DB41AC">
              <w:rPr>
                <w:rFonts w:ascii="Georgia" w:hAnsi="Georgia"/>
                <w:b/>
                <w:bCs/>
                <w:color w:val="333333"/>
              </w:rPr>
              <w:t xml:space="preserve"> </w:t>
            </w:r>
            <w:r w:rsidR="00DB41AC">
              <w:rPr>
                <w:rFonts w:ascii="Georgia" w:hAnsi="Georgia"/>
                <w:b/>
                <w:bCs/>
                <w:color w:val="333333"/>
              </w:rPr>
              <w:t>their</w:t>
            </w:r>
            <w:r w:rsidR="00DB41AC" w:rsidRPr="00DB41AC">
              <w:rPr>
                <w:rFonts w:ascii="Georgia" w:hAnsi="Georgia"/>
                <w:b/>
                <w:bCs/>
                <w:color w:val="333333"/>
              </w:rPr>
              <w:t xml:space="preserve"> app's features to serve you better. So, keep checking in to make sure you</w:t>
            </w:r>
            <w:r w:rsidR="00DB41AC">
              <w:rPr>
                <w:rFonts w:ascii="Georgia" w:hAnsi="Georgia"/>
                <w:b/>
                <w:bCs/>
                <w:color w:val="333333"/>
              </w:rPr>
              <w:t xml:space="preserve"> </w:t>
            </w:r>
            <w:r w:rsidR="00DB41AC" w:rsidRPr="00DB41AC">
              <w:rPr>
                <w:rFonts w:ascii="Georgia" w:hAnsi="Georgia"/>
                <w:b/>
                <w:bCs/>
                <w:color w:val="333333"/>
              </w:rPr>
              <w:t>don’t miss out.</w:t>
            </w:r>
          </w:p>
          <w:p w14:paraId="267E613C" w14:textId="2A6B9D0B" w:rsidR="00DB41AC" w:rsidRPr="00DB41AC" w:rsidRDefault="00DB41AC" w:rsidP="00DB41AC">
            <w:pPr>
              <w:rPr>
                <w:rFonts w:ascii="Georgia" w:hAnsi="Georgia"/>
                <w:color w:val="333333"/>
              </w:rPr>
            </w:pPr>
            <w:r>
              <w:rPr>
                <w:rFonts w:ascii="Georgia" w:hAnsi="Georgia"/>
                <w:color w:val="333333"/>
              </w:rPr>
              <w:t>Royal London’s pension plan,</w:t>
            </w:r>
            <w:r w:rsidRPr="00DB41AC">
              <w:rPr>
                <w:rFonts w:ascii="Georgia" w:hAnsi="Georgia"/>
                <w:color w:val="333333"/>
              </w:rPr>
              <w:t xml:space="preserve"> with its range of investment options, </w:t>
            </w:r>
            <w:r>
              <w:rPr>
                <w:rFonts w:ascii="Georgia" w:hAnsi="Georgia"/>
                <w:color w:val="333333"/>
              </w:rPr>
              <w:t xml:space="preserve">is </w:t>
            </w:r>
            <w:r w:rsidRPr="00DB41AC">
              <w:rPr>
                <w:rFonts w:ascii="Georgia" w:hAnsi="Georgia"/>
                <w:color w:val="333333"/>
              </w:rPr>
              <w:t>here to help you save for retirement. It's a long-term commitment,</w:t>
            </w:r>
            <w:r>
              <w:rPr>
                <w:rFonts w:ascii="Georgia" w:hAnsi="Georgia"/>
                <w:color w:val="333333"/>
              </w:rPr>
              <w:t xml:space="preserve"> </w:t>
            </w:r>
            <w:r w:rsidRPr="00DB41AC">
              <w:rPr>
                <w:rFonts w:ascii="Georgia" w:hAnsi="Georgia"/>
                <w:color w:val="333333"/>
              </w:rPr>
              <w:lastRenderedPageBreak/>
              <w:t>so make sure to review your pension plan regularly to keep it in line</w:t>
            </w:r>
            <w:r>
              <w:rPr>
                <w:rFonts w:ascii="Georgia" w:hAnsi="Georgia"/>
                <w:color w:val="333333"/>
              </w:rPr>
              <w:t xml:space="preserve"> </w:t>
            </w:r>
            <w:r w:rsidRPr="00DB41AC">
              <w:rPr>
                <w:rFonts w:ascii="Georgia" w:hAnsi="Georgia"/>
                <w:color w:val="333333"/>
              </w:rPr>
              <w:t>with your retirement dreams.</w:t>
            </w:r>
          </w:p>
          <w:p w14:paraId="20C93FE0" w14:textId="309D3D56" w:rsidR="009B4BC8" w:rsidRPr="00E7458F" w:rsidRDefault="009B4BC8" w:rsidP="009326FD">
            <w:pPr>
              <w:rPr>
                <w:rFonts w:ascii="Georgia" w:hAnsi="Georgia"/>
                <w:color w:val="000000" w:themeColor="text1"/>
              </w:rPr>
            </w:pPr>
            <w:r w:rsidRPr="00E7458F">
              <w:rPr>
                <w:rFonts w:ascii="Georgia" w:hAnsi="Georgia"/>
                <w:color w:val="000000" w:themeColor="text1"/>
              </w:rPr>
              <w:t>Yours sincerely,</w:t>
            </w:r>
          </w:p>
          <w:p w14:paraId="63A437A9" w14:textId="77777777" w:rsidR="009B4BC8" w:rsidRPr="004931B6" w:rsidRDefault="009B4BC8" w:rsidP="009326FD">
            <w:pPr>
              <w:rPr>
                <w:rStyle w:val="Emphasis"/>
              </w:rPr>
            </w:pPr>
            <w:r w:rsidRPr="004931B6">
              <w:rPr>
                <w:rStyle w:val="Emphasis"/>
              </w:rPr>
              <w:t>[</w:t>
            </w:r>
            <w:r w:rsidRPr="002C383A">
              <w:rPr>
                <w:rStyle w:val="Emphasis"/>
                <w:highlight w:val="yellow"/>
              </w:rPr>
              <w:t>Name Surname</w:t>
            </w:r>
            <w:r w:rsidRPr="004931B6">
              <w:rPr>
                <w:rStyle w:val="Emphasis"/>
              </w:rPr>
              <w:t>]</w:t>
            </w:r>
          </w:p>
          <w:p w14:paraId="2DF82C95" w14:textId="77777777" w:rsidR="009B4BC8" w:rsidRPr="004931B6" w:rsidRDefault="009B4BC8" w:rsidP="005C537B">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742E0E22" w14:textId="24D30FF8" w:rsidR="00DE1CEF" w:rsidRPr="004931B6" w:rsidRDefault="009B4BC8" w:rsidP="005C537B">
            <w:pPr>
              <w:pStyle w:val="NoSpacing"/>
              <w:rPr>
                <w:rStyle w:val="Hyperlink"/>
              </w:rPr>
            </w:pPr>
            <w:r w:rsidRPr="004931B6">
              <w:rPr>
                <w:rStyle w:val="Hyperlink"/>
              </w:rPr>
              <w:t>[</w:t>
            </w:r>
            <w:r w:rsidRPr="002C383A">
              <w:rPr>
                <w:rStyle w:val="Hyperlink"/>
                <w:highlight w:val="yellow"/>
              </w:rPr>
              <w:t>name.surname@email.com</w:t>
            </w:r>
            <w:r w:rsidRPr="004931B6">
              <w:rPr>
                <w:rStyle w:val="Hyperlink"/>
              </w:rPr>
              <w:t>]</w:t>
            </w:r>
          </w:p>
        </w:tc>
      </w:tr>
      <w:tr w:rsidR="00D556B3" w14:paraId="16DC9A66" w14:textId="77777777" w:rsidTr="000E6385">
        <w:tc>
          <w:tcPr>
            <w:tcW w:w="9080" w:type="dxa"/>
            <w:gridSpan w:val="2"/>
            <w:tcBorders>
              <w:top w:val="nil"/>
              <w:bottom w:val="nil"/>
            </w:tcBorders>
            <w:shd w:val="clear" w:color="auto" w:fill="FFFFFF" w:themeFill="background1"/>
          </w:tcPr>
          <w:p w14:paraId="40C020D9" w14:textId="017F8053" w:rsidR="00D556B3" w:rsidRDefault="00E57FA8" w:rsidP="005C537B">
            <w:pPr>
              <w:pStyle w:val="NoSpacing"/>
            </w:pPr>
            <w:r w:rsidRPr="00E57FA8">
              <w:rPr>
                <w:noProof/>
              </w:rPr>
              <w:lastRenderedPageBreak/>
              <w:drawing>
                <wp:inline distT="0" distB="0" distL="0" distR="0" wp14:anchorId="03D8828D" wp14:editId="2C44D20C">
                  <wp:extent cx="5750420" cy="2641600"/>
                  <wp:effectExtent l="0" t="0" r="3175" b="6350"/>
                  <wp:docPr id="897867408"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50420" cy="2641600"/>
                          </a:xfrm>
                          <a:prstGeom prst="rect">
                            <a:avLst/>
                          </a:prstGeom>
                          <a:noFill/>
                          <a:ln>
                            <a:noFill/>
                          </a:ln>
                        </pic:spPr>
                      </pic:pic>
                    </a:graphicData>
                  </a:graphic>
                </wp:inline>
              </w:drawing>
            </w:r>
          </w:p>
          <w:p w14:paraId="00A5FAE0" w14:textId="77777777" w:rsidR="00E57FA8" w:rsidRDefault="00E57FA8" w:rsidP="005C537B">
            <w:pPr>
              <w:pStyle w:val="NoSpacing"/>
            </w:pPr>
          </w:p>
          <w:p w14:paraId="1C69833E" w14:textId="754ACCCF" w:rsidR="00561BF5" w:rsidRPr="00E57FA8" w:rsidRDefault="00E57FA8" w:rsidP="005C537B">
            <w:pPr>
              <w:pStyle w:val="NoSpacing"/>
              <w:rPr>
                <w:rFonts w:eastAsia="Arial"/>
                <w:b/>
                <w:bCs/>
                <w:sz w:val="20"/>
                <w:szCs w:val="20"/>
              </w:rPr>
            </w:pPr>
            <w:r w:rsidRPr="0B24C826">
              <w:rPr>
                <w:rFonts w:eastAsia="Arial"/>
                <w:sz w:val="20"/>
                <w:szCs w:val="20"/>
              </w:rPr>
              <w:t xml:space="preserve">Apple and the Apple logo are trademarks of Apple Inc., registered in the U.S. and other countries. App Store is a service mark of Apple Inc. Google </w:t>
            </w:r>
            <w:proofErr w:type="gramStart"/>
            <w:r w:rsidRPr="0B24C826">
              <w:rPr>
                <w:rFonts w:eastAsia="Arial"/>
                <w:sz w:val="20"/>
                <w:szCs w:val="20"/>
              </w:rPr>
              <w:t>Play</w:t>
            </w:r>
            <w:proofErr w:type="gramEnd"/>
            <w:r w:rsidRPr="0B24C826">
              <w:rPr>
                <w:rFonts w:eastAsia="Arial"/>
                <w:sz w:val="20"/>
                <w:szCs w:val="20"/>
              </w:rPr>
              <w:t xml:space="preserve"> and the Google Play logo are trademarks of Google LLC.</w:t>
            </w:r>
          </w:p>
        </w:tc>
      </w:tr>
      <w:tr w:rsidR="009326FD" w:rsidRPr="009326FD" w14:paraId="2A39A6C3" w14:textId="77777777" w:rsidTr="005B7238">
        <w:tc>
          <w:tcPr>
            <w:tcW w:w="4788" w:type="dxa"/>
            <w:tcBorders>
              <w:right w:val="nil"/>
            </w:tcBorders>
            <w:shd w:val="clear" w:color="auto" w:fill="auto"/>
            <w:tcMar>
              <w:top w:w="113" w:type="dxa"/>
              <w:left w:w="0" w:type="dxa"/>
              <w:bottom w:w="113" w:type="dxa"/>
              <w:right w:w="284" w:type="dxa"/>
            </w:tcMar>
          </w:tcPr>
          <w:p w14:paraId="49B29A49" w14:textId="4E9FC29C" w:rsidR="00D556B3" w:rsidRPr="009D644F" w:rsidRDefault="004D012C" w:rsidP="005B7238">
            <w:pPr>
              <w:pStyle w:val="Footer"/>
              <w:ind w:left="-3"/>
              <w:rPr>
                <w:b/>
                <w:bCs/>
                <w:color w:val="000000" w:themeColor="text1"/>
              </w:rPr>
            </w:pPr>
            <w:r>
              <w:rPr>
                <w:b/>
                <w:bCs/>
                <w:color w:val="000000" w:themeColor="text1"/>
              </w:rPr>
              <w:t>March 2025</w:t>
            </w:r>
          </w:p>
        </w:tc>
        <w:tc>
          <w:tcPr>
            <w:tcW w:w="4292" w:type="dxa"/>
            <w:tcBorders>
              <w:left w:val="nil"/>
            </w:tcBorders>
            <w:shd w:val="clear" w:color="auto" w:fill="auto"/>
            <w:tcMar>
              <w:top w:w="113" w:type="dxa"/>
              <w:left w:w="284" w:type="dxa"/>
              <w:bottom w:w="113" w:type="dxa"/>
              <w:right w:w="284" w:type="dxa"/>
            </w:tcMar>
          </w:tcPr>
          <w:p w14:paraId="49CBCB0E" w14:textId="2F69DFCB" w:rsidR="00D556B3" w:rsidRPr="009D644F" w:rsidRDefault="00393012" w:rsidP="00E57FA8">
            <w:pPr>
              <w:pStyle w:val="Footer"/>
              <w:ind w:right="-292"/>
              <w:jc w:val="right"/>
              <w:rPr>
                <w:b/>
                <w:bCs/>
                <w:color w:val="000000" w:themeColor="text1"/>
              </w:rPr>
            </w:pPr>
            <w:r w:rsidRPr="009D644F">
              <w:rPr>
                <w:b/>
                <w:bCs/>
                <w:color w:val="000000" w:themeColor="text1"/>
              </w:rPr>
              <w:t xml:space="preserve">E P EM </w:t>
            </w:r>
            <w:r w:rsidR="004D012C">
              <w:rPr>
                <w:b/>
                <w:bCs/>
                <w:color w:val="000000" w:themeColor="text1"/>
              </w:rPr>
              <w:t>0978</w:t>
            </w:r>
            <w:r w:rsidR="003E585F" w:rsidRPr="009D644F">
              <w:rPr>
                <w:b/>
                <w:bCs/>
                <w:color w:val="000000" w:themeColor="text1"/>
              </w:rPr>
              <w:t>/1</w:t>
            </w:r>
          </w:p>
        </w:tc>
      </w:tr>
      <w:bookmarkEnd w:id="0"/>
    </w:tbl>
    <w:p w14:paraId="5E5AFDFB" w14:textId="506759DA" w:rsidR="00252A81" w:rsidRPr="00DE1CEF" w:rsidRDefault="00252A81" w:rsidP="009326FD"/>
    <w:sectPr w:rsidR="00252A81" w:rsidRPr="00DE1CEF" w:rsidSect="00995271">
      <w:headerReference w:type="default" r:id="rId12"/>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E63A" w14:textId="77777777" w:rsidR="003760EA" w:rsidRDefault="003760EA" w:rsidP="009326FD">
      <w:r>
        <w:separator/>
      </w:r>
    </w:p>
  </w:endnote>
  <w:endnote w:type="continuationSeparator" w:id="0">
    <w:p w14:paraId="0D84CC51" w14:textId="77777777" w:rsidR="003760EA" w:rsidRDefault="003760EA"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1C83" w14:textId="77777777" w:rsidR="003760EA" w:rsidRDefault="003760EA" w:rsidP="009326FD">
      <w:r>
        <w:separator/>
      </w:r>
    </w:p>
  </w:footnote>
  <w:footnote w:type="continuationSeparator" w:id="0">
    <w:p w14:paraId="29BD9525" w14:textId="77777777" w:rsidR="003760EA" w:rsidRDefault="003760EA"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0A175D8"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1213"/>
    <w:multiLevelType w:val="hybridMultilevel"/>
    <w:tmpl w:val="496899FC"/>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409E4"/>
    <w:multiLevelType w:val="hybridMultilevel"/>
    <w:tmpl w:val="60FC14A8"/>
    <w:lvl w:ilvl="0" w:tplc="127469C8">
      <w:start w:val="1"/>
      <w:numFmt w:val="bullet"/>
      <w:lvlText w:val=""/>
      <w:lvlJc w:val="left"/>
      <w:pPr>
        <w:ind w:left="720" w:hanging="360"/>
      </w:pPr>
      <w:rPr>
        <w:rFonts w:ascii="Symbol" w:hAnsi="Symbol" w:hint="default"/>
        <w:color w:val="00676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2"/>
  </w:num>
  <w:num w:numId="2" w16cid:durableId="359823527">
    <w:abstractNumId w:val="1"/>
  </w:num>
  <w:num w:numId="3" w16cid:durableId="80170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2526A"/>
    <w:rsid w:val="00062CE1"/>
    <w:rsid w:val="00071A3A"/>
    <w:rsid w:val="00077D3E"/>
    <w:rsid w:val="000852EA"/>
    <w:rsid w:val="00086228"/>
    <w:rsid w:val="000C621A"/>
    <w:rsid w:val="000D3ADC"/>
    <w:rsid w:val="000E3931"/>
    <w:rsid w:val="000E6385"/>
    <w:rsid w:val="000E7EE4"/>
    <w:rsid w:val="000F282B"/>
    <w:rsid w:val="000F5048"/>
    <w:rsid w:val="00102B1A"/>
    <w:rsid w:val="001D4F73"/>
    <w:rsid w:val="001E7DCC"/>
    <w:rsid w:val="00210A06"/>
    <w:rsid w:val="00240B11"/>
    <w:rsid w:val="00246C00"/>
    <w:rsid w:val="00252A81"/>
    <w:rsid w:val="00285C80"/>
    <w:rsid w:val="002A3B3A"/>
    <w:rsid w:val="002B24D8"/>
    <w:rsid w:val="002C383A"/>
    <w:rsid w:val="002D2C0C"/>
    <w:rsid w:val="002D7668"/>
    <w:rsid w:val="00300EB5"/>
    <w:rsid w:val="00301C24"/>
    <w:rsid w:val="003261E7"/>
    <w:rsid w:val="003323E7"/>
    <w:rsid w:val="0033673D"/>
    <w:rsid w:val="00336909"/>
    <w:rsid w:val="003373F1"/>
    <w:rsid w:val="003631AE"/>
    <w:rsid w:val="003760EA"/>
    <w:rsid w:val="00393012"/>
    <w:rsid w:val="003A6DDA"/>
    <w:rsid w:val="003B2514"/>
    <w:rsid w:val="003B765E"/>
    <w:rsid w:val="003C31FD"/>
    <w:rsid w:val="003D4520"/>
    <w:rsid w:val="003D6F7F"/>
    <w:rsid w:val="003E585F"/>
    <w:rsid w:val="00416076"/>
    <w:rsid w:val="00426F16"/>
    <w:rsid w:val="004536C7"/>
    <w:rsid w:val="004564E7"/>
    <w:rsid w:val="00470DCD"/>
    <w:rsid w:val="00473E54"/>
    <w:rsid w:val="004931B6"/>
    <w:rsid w:val="004D012C"/>
    <w:rsid w:val="004D49C5"/>
    <w:rsid w:val="004E70A8"/>
    <w:rsid w:val="004F2EDD"/>
    <w:rsid w:val="00506FC2"/>
    <w:rsid w:val="00523893"/>
    <w:rsid w:val="0053090D"/>
    <w:rsid w:val="005336EE"/>
    <w:rsid w:val="005447A3"/>
    <w:rsid w:val="005545DB"/>
    <w:rsid w:val="00561BF5"/>
    <w:rsid w:val="00575276"/>
    <w:rsid w:val="00586B4F"/>
    <w:rsid w:val="005B55FB"/>
    <w:rsid w:val="005B7238"/>
    <w:rsid w:val="005C537B"/>
    <w:rsid w:val="005E079F"/>
    <w:rsid w:val="005E2EBF"/>
    <w:rsid w:val="00604F95"/>
    <w:rsid w:val="00617030"/>
    <w:rsid w:val="00630E15"/>
    <w:rsid w:val="0063533F"/>
    <w:rsid w:val="006644D4"/>
    <w:rsid w:val="00676DB3"/>
    <w:rsid w:val="00680A3F"/>
    <w:rsid w:val="006979D8"/>
    <w:rsid w:val="006B07BB"/>
    <w:rsid w:val="006D07EA"/>
    <w:rsid w:val="006D3ECC"/>
    <w:rsid w:val="006D7290"/>
    <w:rsid w:val="006E354C"/>
    <w:rsid w:val="006F5B0D"/>
    <w:rsid w:val="00701FC6"/>
    <w:rsid w:val="00703B17"/>
    <w:rsid w:val="007145B8"/>
    <w:rsid w:val="00730E95"/>
    <w:rsid w:val="007315FC"/>
    <w:rsid w:val="007508EE"/>
    <w:rsid w:val="00761619"/>
    <w:rsid w:val="007A13D8"/>
    <w:rsid w:val="007A31A2"/>
    <w:rsid w:val="007D28D7"/>
    <w:rsid w:val="007E10E4"/>
    <w:rsid w:val="007F08CB"/>
    <w:rsid w:val="008010C8"/>
    <w:rsid w:val="00812022"/>
    <w:rsid w:val="00830D57"/>
    <w:rsid w:val="00884FAF"/>
    <w:rsid w:val="008A4CED"/>
    <w:rsid w:val="008F145A"/>
    <w:rsid w:val="00907091"/>
    <w:rsid w:val="00931DB8"/>
    <w:rsid w:val="009325C6"/>
    <w:rsid w:val="009326FD"/>
    <w:rsid w:val="00936796"/>
    <w:rsid w:val="00942290"/>
    <w:rsid w:val="009426CE"/>
    <w:rsid w:val="00950434"/>
    <w:rsid w:val="00982368"/>
    <w:rsid w:val="00993B68"/>
    <w:rsid w:val="00995271"/>
    <w:rsid w:val="00996F76"/>
    <w:rsid w:val="009A36E7"/>
    <w:rsid w:val="009B0431"/>
    <w:rsid w:val="009B1811"/>
    <w:rsid w:val="009B43F2"/>
    <w:rsid w:val="009B4BC8"/>
    <w:rsid w:val="009C5FA5"/>
    <w:rsid w:val="009C77D6"/>
    <w:rsid w:val="009D557D"/>
    <w:rsid w:val="009D644F"/>
    <w:rsid w:val="009E3437"/>
    <w:rsid w:val="009E35D0"/>
    <w:rsid w:val="00A04085"/>
    <w:rsid w:val="00A04926"/>
    <w:rsid w:val="00A05F77"/>
    <w:rsid w:val="00A15C3B"/>
    <w:rsid w:val="00A16D99"/>
    <w:rsid w:val="00A40349"/>
    <w:rsid w:val="00A54335"/>
    <w:rsid w:val="00A75CCE"/>
    <w:rsid w:val="00AB2185"/>
    <w:rsid w:val="00AB48FB"/>
    <w:rsid w:val="00AC0040"/>
    <w:rsid w:val="00AF2334"/>
    <w:rsid w:val="00B10BBA"/>
    <w:rsid w:val="00B34310"/>
    <w:rsid w:val="00B41049"/>
    <w:rsid w:val="00B41581"/>
    <w:rsid w:val="00B657DC"/>
    <w:rsid w:val="00B80472"/>
    <w:rsid w:val="00B92A1E"/>
    <w:rsid w:val="00B92F44"/>
    <w:rsid w:val="00BA6DF0"/>
    <w:rsid w:val="00BE45AB"/>
    <w:rsid w:val="00BE4B8C"/>
    <w:rsid w:val="00BE4EE8"/>
    <w:rsid w:val="00BE52F4"/>
    <w:rsid w:val="00BF2299"/>
    <w:rsid w:val="00C3425D"/>
    <w:rsid w:val="00C55FAA"/>
    <w:rsid w:val="00C56E3B"/>
    <w:rsid w:val="00C61D5C"/>
    <w:rsid w:val="00C91C6A"/>
    <w:rsid w:val="00CA3643"/>
    <w:rsid w:val="00CA5DC8"/>
    <w:rsid w:val="00CD6E57"/>
    <w:rsid w:val="00CE12F7"/>
    <w:rsid w:val="00CE287C"/>
    <w:rsid w:val="00CF34B5"/>
    <w:rsid w:val="00D03A5A"/>
    <w:rsid w:val="00D274AF"/>
    <w:rsid w:val="00D51E77"/>
    <w:rsid w:val="00D556B3"/>
    <w:rsid w:val="00D81521"/>
    <w:rsid w:val="00D8681B"/>
    <w:rsid w:val="00D86FCB"/>
    <w:rsid w:val="00DB41AC"/>
    <w:rsid w:val="00DD3409"/>
    <w:rsid w:val="00DD3965"/>
    <w:rsid w:val="00DE1CEF"/>
    <w:rsid w:val="00DE2904"/>
    <w:rsid w:val="00DE6C02"/>
    <w:rsid w:val="00DF20DB"/>
    <w:rsid w:val="00DF62CB"/>
    <w:rsid w:val="00E237BD"/>
    <w:rsid w:val="00E37018"/>
    <w:rsid w:val="00E40DA2"/>
    <w:rsid w:val="00E44D97"/>
    <w:rsid w:val="00E57FA8"/>
    <w:rsid w:val="00E7458F"/>
    <w:rsid w:val="00E763B0"/>
    <w:rsid w:val="00EC32D2"/>
    <w:rsid w:val="00ED4487"/>
    <w:rsid w:val="00EE311A"/>
    <w:rsid w:val="00EF5041"/>
    <w:rsid w:val="00F00082"/>
    <w:rsid w:val="00F16199"/>
    <w:rsid w:val="00F27387"/>
    <w:rsid w:val="00F32956"/>
    <w:rsid w:val="00F80F7B"/>
    <w:rsid w:val="00F81DD2"/>
    <w:rsid w:val="00F934AE"/>
    <w:rsid w:val="00FA665E"/>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yourplan.royallondon.com/sites/schemes/default/managing-your-plan/mobile-app/?utm_source=Email+template&amp;utm_medium=Email+footer+&amp;utm_id=Toolkit+Mobile+app+footer" TargetMode="External"/><Relationship Id="rId4" Type="http://schemas.openxmlformats.org/officeDocument/2006/relationships/settings" Target="settings.xml"/><Relationship Id="rId9" Type="http://schemas.openxmlformats.org/officeDocument/2006/relationships/hyperlink" Target="https://vimeo.com/415121444/245547e9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Peter Valente</cp:lastModifiedBy>
  <cp:revision>5</cp:revision>
  <cp:lastPrinted>2020-02-12T15:28:00Z</cp:lastPrinted>
  <dcterms:created xsi:type="dcterms:W3CDTF">2025-03-18T16:58:00Z</dcterms:created>
  <dcterms:modified xsi:type="dcterms:W3CDTF">2025-03-21T13:44:00Z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ies>
</file>