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788"/>
        <w:gridCol w:w="4143"/>
        <w:gridCol w:w="149"/>
      </w:tblGrid>
      <w:tr w:rsidR="00DE1CEF" w14:paraId="2C632FD0" w14:textId="77777777" w:rsidTr="006F05BC">
        <w:trPr>
          <w:jc w:val="center"/>
        </w:trPr>
        <w:tc>
          <w:tcPr>
            <w:tcW w:w="9080" w:type="dxa"/>
            <w:gridSpan w:val="3"/>
            <w:shd w:val="clear" w:color="auto" w:fill="FFFFFF" w:themeFill="background1"/>
          </w:tcPr>
          <w:p w14:paraId="121AE22A" w14:textId="48C73B3D" w:rsidR="00DE1CEF" w:rsidRDefault="00A902E3" w:rsidP="005C537B">
            <w:pPr>
              <w:pStyle w:val="NoSpacing"/>
            </w:pPr>
            <w:bookmarkStart w:id="0" w:name="_Hlk41991412"/>
            <w:r>
              <w:rPr>
                <w:noProof/>
              </w:rPr>
              <w:drawing>
                <wp:inline distT="0" distB="0" distL="0" distR="0" wp14:anchorId="603DFEC6" wp14:editId="78E6C958">
                  <wp:extent cx="5753735" cy="1328420"/>
                  <wp:effectExtent l="0" t="0" r="0" b="5080"/>
                  <wp:docPr id="655495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1328420"/>
                          </a:xfrm>
                          <a:prstGeom prst="rect">
                            <a:avLst/>
                          </a:prstGeom>
                          <a:noFill/>
                          <a:ln>
                            <a:noFill/>
                          </a:ln>
                        </pic:spPr>
                      </pic:pic>
                    </a:graphicData>
                  </a:graphic>
                </wp:inline>
              </w:drawing>
            </w:r>
          </w:p>
        </w:tc>
      </w:tr>
      <w:tr w:rsidR="00DE1CEF" w14:paraId="25E12ACF" w14:textId="77777777" w:rsidTr="006F05BC">
        <w:trPr>
          <w:jc w:val="center"/>
        </w:trPr>
        <w:tc>
          <w:tcPr>
            <w:tcW w:w="9080" w:type="dxa"/>
            <w:gridSpan w:val="3"/>
            <w:tcBorders>
              <w:bottom w:val="nil"/>
            </w:tcBorders>
            <w:shd w:val="clear" w:color="auto" w:fill="FFFFFF" w:themeFill="background1"/>
            <w:tcMar>
              <w:top w:w="567" w:type="dxa"/>
              <w:left w:w="284" w:type="dxa"/>
              <w:bottom w:w="567" w:type="dxa"/>
              <w:right w:w="284" w:type="dxa"/>
            </w:tcMar>
          </w:tcPr>
          <w:p w14:paraId="71D5C56A" w14:textId="77777777" w:rsidR="009B4BC8" w:rsidRPr="00E7458F" w:rsidRDefault="009B4BC8" w:rsidP="00E7458F">
            <w:pPr>
              <w:rPr>
                <w:rFonts w:ascii="Georgia" w:hAnsi="Georgia"/>
                <w:color w:val="000000" w:themeColor="text1"/>
              </w:rPr>
            </w:pPr>
            <w:r w:rsidRPr="00E7458F">
              <w:rPr>
                <w:rFonts w:ascii="Georgia" w:hAnsi="Georgia"/>
                <w:color w:val="000000" w:themeColor="text1"/>
              </w:rPr>
              <w:t xml:space="preserve">Dear </w:t>
            </w:r>
            <w:r w:rsidRPr="00E7458F">
              <w:rPr>
                <w:rFonts w:ascii="Georgia" w:hAnsi="Georgia"/>
                <w:color w:val="000000" w:themeColor="text1"/>
                <w:highlight w:val="yellow"/>
              </w:rPr>
              <w:t>[insert name of employee]</w:t>
            </w:r>
            <w:r w:rsidRPr="00E7458F">
              <w:rPr>
                <w:rFonts w:ascii="Georgia" w:hAnsi="Georgia"/>
                <w:color w:val="000000" w:themeColor="text1"/>
              </w:rPr>
              <w:t>,</w:t>
            </w:r>
          </w:p>
          <w:p w14:paraId="0DFA2C0B" w14:textId="5481E217" w:rsidR="00DE5986" w:rsidRPr="00DE5986" w:rsidRDefault="00DE5986" w:rsidP="00DE5986">
            <w:pPr>
              <w:rPr>
                <w:rFonts w:ascii="Georgia" w:eastAsia="Calibri" w:hAnsi="Georgia"/>
                <w:color w:val="000000"/>
              </w:rPr>
            </w:pPr>
            <w:r w:rsidRPr="00DE5986">
              <w:rPr>
                <w:rFonts w:ascii="Georgia" w:eastAsia="Calibri" w:hAnsi="Georgia"/>
                <w:color w:val="000000"/>
              </w:rPr>
              <w:t>The minimum retirement age is increasing from 55 to 57 in 2028. From th</w:t>
            </w:r>
            <w:r w:rsidR="00A902E3">
              <w:rPr>
                <w:rFonts w:ascii="Georgia" w:eastAsia="Calibri" w:hAnsi="Georgia"/>
                <w:color w:val="000000"/>
              </w:rPr>
              <w:t>en</w:t>
            </w:r>
            <w:r w:rsidRPr="00DE5986">
              <w:rPr>
                <w:rFonts w:ascii="Georgia" w:eastAsia="Calibri" w:hAnsi="Georgia"/>
                <w:color w:val="000000"/>
              </w:rPr>
              <w:t>, you’ll be able to access your pension savings if you want to.</w:t>
            </w:r>
          </w:p>
          <w:p w14:paraId="51785E16" w14:textId="77777777" w:rsidR="00DE5986" w:rsidRPr="00DE5986" w:rsidRDefault="00DE5986" w:rsidP="00DE5986">
            <w:pPr>
              <w:rPr>
                <w:rFonts w:eastAsia="Calibri"/>
                <w:b/>
                <w:bCs/>
                <w:noProof/>
                <w:color w:val="470054"/>
              </w:rPr>
            </w:pPr>
            <w:r w:rsidRPr="00DE5986">
              <w:rPr>
                <w:rFonts w:eastAsia="Calibri"/>
                <w:b/>
                <w:bCs/>
                <w:noProof/>
                <w:color w:val="470054"/>
              </w:rPr>
              <w:t>What are my options?</w:t>
            </w:r>
          </w:p>
          <w:p w14:paraId="11BE65C2" w14:textId="77777777" w:rsidR="00DE5986" w:rsidRPr="00DE5986" w:rsidRDefault="00DE5986" w:rsidP="00DE5986">
            <w:pPr>
              <w:rPr>
                <w:rFonts w:ascii="Georgia" w:eastAsia="Calibri" w:hAnsi="Georgia"/>
                <w:color w:val="000000"/>
              </w:rPr>
            </w:pPr>
            <w:r w:rsidRPr="00DE5986">
              <w:rPr>
                <w:rFonts w:ascii="Georgia" w:eastAsia="Calibri" w:hAnsi="Georgia"/>
                <w:color w:val="000000"/>
              </w:rPr>
              <w:t>You have several ways to use your pension pot:</w:t>
            </w:r>
          </w:p>
          <w:p w14:paraId="50528F4E" w14:textId="77777777" w:rsidR="00DE5986" w:rsidRPr="00DE5986" w:rsidRDefault="00DE5986" w:rsidP="00DE5986">
            <w:pPr>
              <w:numPr>
                <w:ilvl w:val="0"/>
                <w:numId w:val="2"/>
              </w:numPr>
              <w:spacing w:after="160" w:line="259" w:lineRule="auto"/>
              <w:rPr>
                <w:rFonts w:ascii="Georgia" w:eastAsia="Calibri" w:hAnsi="Georgia"/>
                <w:color w:val="000000"/>
              </w:rPr>
            </w:pPr>
            <w:r w:rsidRPr="00DE5986">
              <w:rPr>
                <w:rFonts w:ascii="Georgia" w:eastAsia="Calibri" w:hAnsi="Georgia"/>
                <w:b/>
                <w:bCs/>
                <w:color w:val="000000"/>
              </w:rPr>
              <w:t>Buy an annuity</w:t>
            </w:r>
            <w:r w:rsidRPr="00DE5986">
              <w:rPr>
                <w:rFonts w:ascii="Georgia" w:eastAsia="Calibri" w:hAnsi="Georgia"/>
                <w:color w:val="000000"/>
              </w:rPr>
              <w:t xml:space="preserve"> for a guaranteed income.</w:t>
            </w:r>
          </w:p>
          <w:p w14:paraId="0A507649" w14:textId="77777777" w:rsidR="00DE5986" w:rsidRPr="00DE5986" w:rsidRDefault="00DE5986" w:rsidP="00DE5986">
            <w:pPr>
              <w:numPr>
                <w:ilvl w:val="0"/>
                <w:numId w:val="2"/>
              </w:numPr>
              <w:spacing w:after="160" w:line="259" w:lineRule="auto"/>
              <w:rPr>
                <w:rFonts w:ascii="Georgia" w:eastAsia="Calibri" w:hAnsi="Georgia"/>
                <w:color w:val="000000"/>
              </w:rPr>
            </w:pPr>
            <w:r w:rsidRPr="00DE5986">
              <w:rPr>
                <w:rFonts w:ascii="Georgia" w:eastAsia="Calibri" w:hAnsi="Georgia"/>
                <w:b/>
                <w:bCs/>
                <w:color w:val="000000"/>
              </w:rPr>
              <w:t>Choose pension drawdown</w:t>
            </w:r>
            <w:r w:rsidRPr="00DE5986">
              <w:rPr>
                <w:rFonts w:ascii="Georgia" w:eastAsia="Calibri" w:hAnsi="Georgia"/>
                <w:color w:val="000000"/>
              </w:rPr>
              <w:t>, allowing you to take money out of your pension pot while the rest stays invested.</w:t>
            </w:r>
          </w:p>
          <w:p w14:paraId="4BD684EB" w14:textId="77777777" w:rsidR="00DE5986" w:rsidRPr="00DE5986" w:rsidRDefault="00DE5986" w:rsidP="00DE5986">
            <w:pPr>
              <w:numPr>
                <w:ilvl w:val="0"/>
                <w:numId w:val="2"/>
              </w:numPr>
              <w:spacing w:after="160" w:line="259" w:lineRule="auto"/>
              <w:rPr>
                <w:rFonts w:ascii="Georgia" w:eastAsia="Calibri" w:hAnsi="Georgia"/>
                <w:color w:val="000000"/>
              </w:rPr>
            </w:pPr>
            <w:r w:rsidRPr="00DE5986">
              <w:rPr>
                <w:rFonts w:ascii="Georgia" w:eastAsia="Calibri" w:hAnsi="Georgia"/>
                <w:b/>
                <w:bCs/>
                <w:color w:val="000000"/>
              </w:rPr>
              <w:t>Take a lump-sum payment</w:t>
            </w:r>
            <w:r w:rsidRPr="00DE5986">
              <w:rPr>
                <w:rFonts w:ascii="Georgia" w:eastAsia="Calibri" w:hAnsi="Georgia"/>
                <w:color w:val="000000"/>
              </w:rPr>
              <w:t xml:space="preserve"> (or multiple payments).</w:t>
            </w:r>
          </w:p>
          <w:p w14:paraId="7FB60043" w14:textId="77777777" w:rsidR="00DE5986" w:rsidRPr="00DE5986" w:rsidRDefault="00DE5986" w:rsidP="00DE5986">
            <w:pPr>
              <w:rPr>
                <w:rFonts w:ascii="Georgia" w:eastAsia="Calibri" w:hAnsi="Georgia"/>
                <w:color w:val="000000"/>
              </w:rPr>
            </w:pPr>
            <w:r w:rsidRPr="00DE5986">
              <w:rPr>
                <w:rFonts w:ascii="Georgia" w:eastAsia="Calibri" w:hAnsi="Georgia"/>
                <w:color w:val="000000"/>
              </w:rPr>
              <w:t xml:space="preserve">You can also </w:t>
            </w:r>
            <w:r w:rsidRPr="00DE5986">
              <w:rPr>
                <w:rFonts w:ascii="Georgia" w:eastAsia="Calibri" w:hAnsi="Georgia"/>
                <w:b/>
                <w:bCs/>
                <w:color w:val="000000"/>
              </w:rPr>
              <w:t>leave your pension invested</w:t>
            </w:r>
            <w:r w:rsidRPr="00DE5986">
              <w:rPr>
                <w:rFonts w:ascii="Georgia" w:eastAsia="Calibri" w:hAnsi="Georgia"/>
                <w:color w:val="000000"/>
              </w:rPr>
              <w:t>. This may help your pension savings grow, but remember the value can go down as well as up, so you could get back less than you’ve paid in.</w:t>
            </w:r>
          </w:p>
          <w:p w14:paraId="043502D4" w14:textId="5139EBFC" w:rsidR="00DE5986" w:rsidRPr="00DE5986" w:rsidRDefault="00DE5986" w:rsidP="00DE5986">
            <w:pPr>
              <w:rPr>
                <w:rFonts w:eastAsia="Calibri"/>
                <w:b/>
                <w:bCs/>
                <w:noProof/>
                <w:color w:val="470054"/>
              </w:rPr>
            </w:pPr>
            <w:r w:rsidRPr="00DE5986">
              <w:rPr>
                <w:rFonts w:eastAsia="Calibri"/>
                <w:b/>
                <w:bCs/>
                <w:noProof/>
                <w:color w:val="470054"/>
              </w:rPr>
              <w:t>What’s best</w:t>
            </w:r>
            <w:r w:rsidR="00A902E3">
              <w:rPr>
                <w:rFonts w:eastAsia="Calibri"/>
                <w:b/>
                <w:bCs/>
                <w:noProof/>
                <w:color w:val="470054"/>
              </w:rPr>
              <w:t xml:space="preserve"> for me</w:t>
            </w:r>
            <w:r w:rsidRPr="00DE5986">
              <w:rPr>
                <w:rFonts w:eastAsia="Calibri"/>
                <w:b/>
                <w:bCs/>
                <w:noProof/>
                <w:color w:val="470054"/>
              </w:rPr>
              <w:t>?</w:t>
            </w:r>
          </w:p>
          <w:p w14:paraId="00BA357E" w14:textId="77777777" w:rsidR="00DE5986" w:rsidRPr="00DE5986" w:rsidRDefault="00DE5986" w:rsidP="00DE5986">
            <w:pPr>
              <w:rPr>
                <w:rFonts w:ascii="Georgia" w:eastAsia="Calibri" w:hAnsi="Georgia"/>
                <w:color w:val="000000"/>
              </w:rPr>
            </w:pPr>
            <w:r w:rsidRPr="00DE5986">
              <w:rPr>
                <w:rFonts w:ascii="Georgia" w:eastAsia="Calibri" w:hAnsi="Georgia"/>
                <w:color w:val="000000"/>
              </w:rPr>
              <w:t xml:space="preserve">It’s important to take time to understand your options, check what state benefits you may be entitled to, and consider any other income sources for retirement. Planning ahead can help make sure your money lasts </w:t>
            </w:r>
            <w:proofErr w:type="gramStart"/>
            <w:r w:rsidRPr="00DE5986">
              <w:rPr>
                <w:rFonts w:ascii="Georgia" w:eastAsia="Calibri" w:hAnsi="Georgia"/>
                <w:color w:val="000000"/>
              </w:rPr>
              <w:t>as long as</w:t>
            </w:r>
            <w:proofErr w:type="gramEnd"/>
            <w:r w:rsidRPr="00DE5986">
              <w:rPr>
                <w:rFonts w:ascii="Georgia" w:eastAsia="Calibri" w:hAnsi="Georgia"/>
                <w:color w:val="000000"/>
              </w:rPr>
              <w:t xml:space="preserve"> you need it to.</w:t>
            </w:r>
          </w:p>
          <w:p w14:paraId="02A2D847" w14:textId="77777777" w:rsidR="00DE5986" w:rsidRPr="00DE5986" w:rsidRDefault="00DE5986" w:rsidP="00DE5986">
            <w:pPr>
              <w:rPr>
                <w:rFonts w:ascii="Georgia" w:eastAsia="Calibri" w:hAnsi="Georgia"/>
                <w:color w:val="000000"/>
              </w:rPr>
            </w:pPr>
            <w:r w:rsidRPr="00DE5986">
              <w:rPr>
                <w:rFonts w:ascii="Georgia" w:eastAsia="Calibri" w:hAnsi="Georgia"/>
                <w:color w:val="000000"/>
              </w:rPr>
              <w:t xml:space="preserve">For a detailed look at your choices, download Royal London’s </w:t>
            </w:r>
            <w:hyperlink r:id="rId12" w:history="1">
              <w:r w:rsidRPr="00DE5986">
                <w:rPr>
                  <w:rFonts w:ascii="Georgia" w:eastAsia="Calibri" w:hAnsi="Georgia"/>
                  <w:color w:val="00676E"/>
                  <w:u w:val="single"/>
                </w:rPr>
                <w:t>retirement guide</w:t>
              </w:r>
            </w:hyperlink>
            <w:r w:rsidRPr="00DE5986">
              <w:rPr>
                <w:rFonts w:ascii="Georgia" w:eastAsia="Calibri" w:hAnsi="Georgia"/>
                <w:color w:val="000000"/>
              </w:rPr>
              <w:t xml:space="preserve">. </w:t>
            </w:r>
          </w:p>
          <w:p w14:paraId="20C93FE0" w14:textId="309D3D56" w:rsidR="009B4BC8" w:rsidRPr="00E7458F" w:rsidRDefault="009B4BC8" w:rsidP="009326FD">
            <w:pPr>
              <w:rPr>
                <w:rFonts w:ascii="Georgia" w:hAnsi="Georgia"/>
                <w:color w:val="000000" w:themeColor="text1"/>
              </w:rPr>
            </w:pPr>
            <w:r w:rsidRPr="00E7458F">
              <w:rPr>
                <w:rFonts w:ascii="Georgia" w:hAnsi="Georgia"/>
                <w:color w:val="000000" w:themeColor="text1"/>
              </w:rPr>
              <w:t>Yours sincerely,</w:t>
            </w:r>
          </w:p>
          <w:p w14:paraId="63A437A9" w14:textId="77777777" w:rsidR="009B4BC8" w:rsidRPr="004931B6" w:rsidRDefault="009B4BC8" w:rsidP="009326FD">
            <w:pPr>
              <w:rPr>
                <w:rStyle w:val="Emphasis"/>
              </w:rPr>
            </w:pPr>
            <w:r w:rsidRPr="004931B6">
              <w:rPr>
                <w:rStyle w:val="Emphasis"/>
              </w:rPr>
              <w:t>[</w:t>
            </w:r>
            <w:r w:rsidRPr="002C383A">
              <w:rPr>
                <w:rStyle w:val="Emphasis"/>
                <w:highlight w:val="yellow"/>
              </w:rPr>
              <w:t>Name Surname</w:t>
            </w:r>
            <w:r w:rsidRPr="004931B6">
              <w:rPr>
                <w:rStyle w:val="Emphasis"/>
              </w:rPr>
              <w:t>]</w:t>
            </w:r>
          </w:p>
          <w:p w14:paraId="2DF82C95" w14:textId="77777777" w:rsidR="009B4BC8" w:rsidRPr="004931B6" w:rsidRDefault="009B4BC8" w:rsidP="005C537B">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742E0E22" w14:textId="24D30FF8" w:rsidR="00DE1CEF" w:rsidRPr="004931B6" w:rsidRDefault="009B4BC8" w:rsidP="005C537B">
            <w:pPr>
              <w:pStyle w:val="NoSpacing"/>
              <w:rPr>
                <w:rStyle w:val="Hyperlink"/>
              </w:rPr>
            </w:pPr>
            <w:r w:rsidRPr="004931B6">
              <w:rPr>
                <w:rStyle w:val="Hyperlink"/>
              </w:rPr>
              <w:t>[</w:t>
            </w:r>
            <w:r w:rsidRPr="002C383A">
              <w:rPr>
                <w:rStyle w:val="Hyperlink"/>
                <w:highlight w:val="yellow"/>
              </w:rPr>
              <w:t>name.surname@email.com</w:t>
            </w:r>
            <w:r w:rsidRPr="004931B6">
              <w:rPr>
                <w:rStyle w:val="Hyperlink"/>
              </w:rPr>
              <w:t>]</w:t>
            </w:r>
          </w:p>
        </w:tc>
      </w:tr>
      <w:tr w:rsidR="00D556B3" w14:paraId="16DC9A66" w14:textId="77777777" w:rsidTr="006F05BC">
        <w:trPr>
          <w:jc w:val="center"/>
        </w:trPr>
        <w:tc>
          <w:tcPr>
            <w:tcW w:w="9080" w:type="dxa"/>
            <w:gridSpan w:val="3"/>
            <w:tcBorders>
              <w:top w:val="nil"/>
              <w:bottom w:val="nil"/>
            </w:tcBorders>
            <w:shd w:val="clear" w:color="auto" w:fill="FFFFFF" w:themeFill="background1"/>
          </w:tcPr>
          <w:p w14:paraId="40C020D9" w14:textId="49AFD276" w:rsidR="00D556B3" w:rsidRDefault="004419FF" w:rsidP="005C537B">
            <w:pPr>
              <w:pStyle w:val="NoSpacing"/>
            </w:pPr>
            <w:r>
              <w:rPr>
                <w:noProof/>
                <w:color w:val="auto"/>
              </w:rPr>
              <w:lastRenderedPageBreak/>
              <w:drawing>
                <wp:inline distT="0" distB="0" distL="0" distR="0" wp14:anchorId="7929DBEB" wp14:editId="55E6CB85">
                  <wp:extent cx="5715000" cy="1428750"/>
                  <wp:effectExtent l="0" t="0" r="0" b="0"/>
                  <wp:docPr id="89895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14:paraId="1C69833E" w14:textId="39356096" w:rsidR="00561BF5" w:rsidRPr="00E57FA8" w:rsidRDefault="00561BF5" w:rsidP="005C537B">
            <w:pPr>
              <w:pStyle w:val="NoSpacing"/>
              <w:rPr>
                <w:rFonts w:eastAsia="Arial"/>
                <w:b/>
                <w:bCs/>
                <w:sz w:val="20"/>
                <w:szCs w:val="20"/>
              </w:rPr>
            </w:pPr>
          </w:p>
        </w:tc>
      </w:tr>
      <w:tr w:rsidR="009326FD" w:rsidRPr="009326FD" w14:paraId="2A39A6C3" w14:textId="77777777" w:rsidTr="006F05BC">
        <w:trPr>
          <w:gridAfter w:val="1"/>
          <w:wAfter w:w="149" w:type="dxa"/>
          <w:jc w:val="center"/>
        </w:trPr>
        <w:tc>
          <w:tcPr>
            <w:tcW w:w="4788" w:type="dxa"/>
            <w:tcBorders>
              <w:right w:val="nil"/>
            </w:tcBorders>
            <w:tcMar>
              <w:top w:w="113" w:type="dxa"/>
              <w:left w:w="0" w:type="dxa"/>
              <w:bottom w:w="113" w:type="dxa"/>
              <w:right w:w="284" w:type="dxa"/>
            </w:tcMar>
          </w:tcPr>
          <w:p w14:paraId="49B29A49" w14:textId="6DF76745" w:rsidR="00D556B3" w:rsidRPr="009D644F" w:rsidRDefault="004419FF" w:rsidP="005B7238">
            <w:pPr>
              <w:pStyle w:val="Footer"/>
              <w:ind w:left="-3"/>
              <w:rPr>
                <w:b/>
                <w:bCs/>
                <w:color w:val="000000" w:themeColor="text1"/>
              </w:rPr>
            </w:pPr>
            <w:r>
              <w:rPr>
                <w:b/>
                <w:bCs/>
                <w:color w:val="000000" w:themeColor="text1"/>
              </w:rPr>
              <w:t>February</w:t>
            </w:r>
            <w:r w:rsidR="00E171EF">
              <w:rPr>
                <w:b/>
                <w:bCs/>
                <w:color w:val="000000" w:themeColor="text1"/>
              </w:rPr>
              <w:t xml:space="preserve"> </w:t>
            </w:r>
            <w:r w:rsidR="00561BF5" w:rsidRPr="009D644F">
              <w:rPr>
                <w:b/>
                <w:bCs/>
                <w:color w:val="000000" w:themeColor="text1"/>
              </w:rPr>
              <w:t>202</w:t>
            </w:r>
            <w:r>
              <w:rPr>
                <w:b/>
                <w:bCs/>
                <w:color w:val="000000" w:themeColor="text1"/>
              </w:rPr>
              <w:t>6</w:t>
            </w:r>
          </w:p>
        </w:tc>
        <w:tc>
          <w:tcPr>
            <w:tcW w:w="4143" w:type="dxa"/>
            <w:tcBorders>
              <w:left w:val="nil"/>
            </w:tcBorders>
            <w:tcMar>
              <w:top w:w="113" w:type="dxa"/>
              <w:left w:w="284" w:type="dxa"/>
              <w:bottom w:w="113" w:type="dxa"/>
              <w:right w:w="284" w:type="dxa"/>
            </w:tcMar>
          </w:tcPr>
          <w:p w14:paraId="49CBCB0E" w14:textId="3F765205" w:rsidR="00D556B3" w:rsidRPr="009D644F" w:rsidRDefault="009C3C43" w:rsidP="006E3AB4">
            <w:pPr>
              <w:pStyle w:val="Footer"/>
              <w:tabs>
                <w:tab w:val="clear" w:pos="4513"/>
              </w:tabs>
              <w:ind w:right="-145"/>
              <w:jc w:val="right"/>
              <w:rPr>
                <w:b/>
                <w:bCs/>
                <w:color w:val="000000" w:themeColor="text1"/>
              </w:rPr>
            </w:pPr>
            <w:r w:rsidRPr="009C3C43">
              <w:rPr>
                <w:b/>
                <w:bCs/>
                <w:color w:val="000000" w:themeColor="text1"/>
              </w:rPr>
              <w:t>E</w:t>
            </w:r>
            <w:r>
              <w:rPr>
                <w:b/>
                <w:bCs/>
                <w:color w:val="000000" w:themeColor="text1"/>
              </w:rPr>
              <w:t xml:space="preserve"> </w:t>
            </w:r>
            <w:r w:rsidRPr="009C3C43">
              <w:rPr>
                <w:b/>
                <w:bCs/>
                <w:color w:val="000000" w:themeColor="text1"/>
              </w:rPr>
              <w:t>P</w:t>
            </w:r>
            <w:r>
              <w:rPr>
                <w:b/>
                <w:bCs/>
                <w:color w:val="000000" w:themeColor="text1"/>
              </w:rPr>
              <w:t xml:space="preserve"> </w:t>
            </w:r>
            <w:r w:rsidRPr="009C3C43">
              <w:rPr>
                <w:b/>
                <w:bCs/>
                <w:color w:val="000000" w:themeColor="text1"/>
              </w:rPr>
              <w:t>EM</w:t>
            </w:r>
            <w:r>
              <w:rPr>
                <w:b/>
                <w:bCs/>
                <w:color w:val="000000" w:themeColor="text1"/>
              </w:rPr>
              <w:t xml:space="preserve"> </w:t>
            </w:r>
            <w:r w:rsidRPr="009C3C43">
              <w:rPr>
                <w:b/>
                <w:bCs/>
                <w:color w:val="000000" w:themeColor="text1"/>
              </w:rPr>
              <w:t>119</w:t>
            </w:r>
            <w:r w:rsidR="001660D4">
              <w:rPr>
                <w:b/>
                <w:bCs/>
                <w:color w:val="000000" w:themeColor="text1"/>
              </w:rPr>
              <w:t>4</w:t>
            </w:r>
            <w:r w:rsidR="006E3AB4">
              <w:rPr>
                <w:b/>
                <w:bCs/>
                <w:color w:val="000000" w:themeColor="text1"/>
              </w:rPr>
              <w:t>/</w:t>
            </w:r>
            <w:r w:rsidR="004419FF">
              <w:rPr>
                <w:b/>
                <w:bCs/>
                <w:color w:val="000000" w:themeColor="text1"/>
              </w:rPr>
              <w:t>2</w:t>
            </w:r>
          </w:p>
        </w:tc>
      </w:tr>
      <w:bookmarkEnd w:id="0"/>
    </w:tbl>
    <w:p w14:paraId="5E5AFDFB" w14:textId="506759DA" w:rsidR="00252A81" w:rsidRPr="00DE1CEF" w:rsidRDefault="00252A81" w:rsidP="009326FD"/>
    <w:sectPr w:rsidR="00252A81" w:rsidRPr="00DE1CEF" w:rsidSect="00995271">
      <w:headerReference w:type="default" r:id="rId14"/>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6BC2" w14:textId="77777777" w:rsidR="00A8593D" w:rsidRDefault="00A8593D" w:rsidP="009326FD">
      <w:r>
        <w:separator/>
      </w:r>
    </w:p>
  </w:endnote>
  <w:endnote w:type="continuationSeparator" w:id="0">
    <w:p w14:paraId="56F3348F" w14:textId="77777777" w:rsidR="00A8593D" w:rsidRDefault="00A8593D"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E168" w14:textId="77777777" w:rsidR="00A8593D" w:rsidRDefault="00A8593D" w:rsidP="009326FD">
      <w:r>
        <w:separator/>
      </w:r>
    </w:p>
  </w:footnote>
  <w:footnote w:type="continuationSeparator" w:id="0">
    <w:p w14:paraId="1909A47C" w14:textId="77777777" w:rsidR="00A8593D" w:rsidRDefault="00A8593D"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0DFA77A5" w:rsidR="00996F76" w:rsidRPr="009326FD" w:rsidRDefault="003E585F" w:rsidP="004931B6">
          <w:pPr>
            <w:pStyle w:val="Header"/>
          </w:pPr>
          <w:r w:rsidRPr="003E585F">
            <w:t xml:space="preserve">[This wording has been approved for use by Royal London in its current format. </w:t>
          </w:r>
          <w:r w:rsidR="005715F5" w:rsidRPr="005715F5">
            <w:t>You can update the wording in yellow to suit your needs</w:t>
          </w:r>
          <w:r w:rsidRPr="003E585F">
            <w:t>.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70E"/>
    <w:multiLevelType w:val="multilevel"/>
    <w:tmpl w:val="A4A2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1"/>
  </w:num>
  <w:num w:numId="2" w16cid:durableId="198095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2526A"/>
    <w:rsid w:val="00062CE1"/>
    <w:rsid w:val="00071A3A"/>
    <w:rsid w:val="00077D3E"/>
    <w:rsid w:val="000852EA"/>
    <w:rsid w:val="00086228"/>
    <w:rsid w:val="000C621A"/>
    <w:rsid w:val="000D3ADC"/>
    <w:rsid w:val="000E3931"/>
    <w:rsid w:val="000E6385"/>
    <w:rsid w:val="000E66A6"/>
    <w:rsid w:val="000E7EE4"/>
    <w:rsid w:val="000F282B"/>
    <w:rsid w:val="000F5048"/>
    <w:rsid w:val="00102B1A"/>
    <w:rsid w:val="001660D4"/>
    <w:rsid w:val="001D4F73"/>
    <w:rsid w:val="001E2D96"/>
    <w:rsid w:val="00210A06"/>
    <w:rsid w:val="00240B11"/>
    <w:rsid w:val="00246C00"/>
    <w:rsid w:val="00252A81"/>
    <w:rsid w:val="00285C80"/>
    <w:rsid w:val="002A3B3A"/>
    <w:rsid w:val="002B24D8"/>
    <w:rsid w:val="002C383A"/>
    <w:rsid w:val="002D7668"/>
    <w:rsid w:val="00300EB5"/>
    <w:rsid w:val="00301C24"/>
    <w:rsid w:val="003261E7"/>
    <w:rsid w:val="003323E7"/>
    <w:rsid w:val="0033673D"/>
    <w:rsid w:val="00336909"/>
    <w:rsid w:val="003373F1"/>
    <w:rsid w:val="003631AE"/>
    <w:rsid w:val="003760EA"/>
    <w:rsid w:val="00393012"/>
    <w:rsid w:val="003A6DDA"/>
    <w:rsid w:val="003B2514"/>
    <w:rsid w:val="003B765E"/>
    <w:rsid w:val="003C31FD"/>
    <w:rsid w:val="003D4520"/>
    <w:rsid w:val="003E3AEB"/>
    <w:rsid w:val="003E585F"/>
    <w:rsid w:val="00426F16"/>
    <w:rsid w:val="004419FF"/>
    <w:rsid w:val="004536C7"/>
    <w:rsid w:val="004564E7"/>
    <w:rsid w:val="00470DCD"/>
    <w:rsid w:val="004931B6"/>
    <w:rsid w:val="004D49C5"/>
    <w:rsid w:val="004E70A8"/>
    <w:rsid w:val="004F2EDD"/>
    <w:rsid w:val="00506FC2"/>
    <w:rsid w:val="00523893"/>
    <w:rsid w:val="0054439C"/>
    <w:rsid w:val="005447A3"/>
    <w:rsid w:val="005545DB"/>
    <w:rsid w:val="00561BF5"/>
    <w:rsid w:val="005715F5"/>
    <w:rsid w:val="00575276"/>
    <w:rsid w:val="00586B4F"/>
    <w:rsid w:val="005B55FB"/>
    <w:rsid w:val="005B7238"/>
    <w:rsid w:val="005C537B"/>
    <w:rsid w:val="005E079F"/>
    <w:rsid w:val="005E2EBF"/>
    <w:rsid w:val="005E3B71"/>
    <w:rsid w:val="00617030"/>
    <w:rsid w:val="00630E15"/>
    <w:rsid w:val="0063533F"/>
    <w:rsid w:val="006644D4"/>
    <w:rsid w:val="00676DB3"/>
    <w:rsid w:val="00680A3F"/>
    <w:rsid w:val="006979D8"/>
    <w:rsid w:val="006A2F69"/>
    <w:rsid w:val="006B07BB"/>
    <w:rsid w:val="006C4AD0"/>
    <w:rsid w:val="006D07EA"/>
    <w:rsid w:val="006D3ECC"/>
    <w:rsid w:val="006D7290"/>
    <w:rsid w:val="006E354C"/>
    <w:rsid w:val="006E3AB4"/>
    <w:rsid w:val="006F05BC"/>
    <w:rsid w:val="006F5B0D"/>
    <w:rsid w:val="00701FC6"/>
    <w:rsid w:val="00703B17"/>
    <w:rsid w:val="00730E95"/>
    <w:rsid w:val="007315FC"/>
    <w:rsid w:val="007508EE"/>
    <w:rsid w:val="00761619"/>
    <w:rsid w:val="007A13D8"/>
    <w:rsid w:val="007A31A2"/>
    <w:rsid w:val="007A7E99"/>
    <w:rsid w:val="007D28D7"/>
    <w:rsid w:val="007E10E4"/>
    <w:rsid w:val="007F08CB"/>
    <w:rsid w:val="008010C8"/>
    <w:rsid w:val="00812022"/>
    <w:rsid w:val="00830D57"/>
    <w:rsid w:val="008423A4"/>
    <w:rsid w:val="00884FAF"/>
    <w:rsid w:val="0088624C"/>
    <w:rsid w:val="008A4CED"/>
    <w:rsid w:val="008F145A"/>
    <w:rsid w:val="00907091"/>
    <w:rsid w:val="00931DB8"/>
    <w:rsid w:val="009325C6"/>
    <w:rsid w:val="009326FD"/>
    <w:rsid w:val="00936796"/>
    <w:rsid w:val="00942290"/>
    <w:rsid w:val="00950434"/>
    <w:rsid w:val="00982368"/>
    <w:rsid w:val="00993B68"/>
    <w:rsid w:val="00995271"/>
    <w:rsid w:val="00996F76"/>
    <w:rsid w:val="009A36E7"/>
    <w:rsid w:val="009A5298"/>
    <w:rsid w:val="009B0431"/>
    <w:rsid w:val="009B1811"/>
    <w:rsid w:val="009B43F2"/>
    <w:rsid w:val="009B4BC8"/>
    <w:rsid w:val="009C3C43"/>
    <w:rsid w:val="009C5FA5"/>
    <w:rsid w:val="009C77D6"/>
    <w:rsid w:val="009D557D"/>
    <w:rsid w:val="009D644F"/>
    <w:rsid w:val="009D68A5"/>
    <w:rsid w:val="009E35D0"/>
    <w:rsid w:val="00A04085"/>
    <w:rsid w:val="00A04926"/>
    <w:rsid w:val="00A05F77"/>
    <w:rsid w:val="00A15C3B"/>
    <w:rsid w:val="00A16D99"/>
    <w:rsid w:val="00A40349"/>
    <w:rsid w:val="00A54335"/>
    <w:rsid w:val="00A571C7"/>
    <w:rsid w:val="00A75CCE"/>
    <w:rsid w:val="00A8593D"/>
    <w:rsid w:val="00A862BD"/>
    <w:rsid w:val="00A902E3"/>
    <w:rsid w:val="00AB2185"/>
    <w:rsid w:val="00AB48FB"/>
    <w:rsid w:val="00AC0040"/>
    <w:rsid w:val="00AF2334"/>
    <w:rsid w:val="00B34310"/>
    <w:rsid w:val="00B41049"/>
    <w:rsid w:val="00B41581"/>
    <w:rsid w:val="00B657DC"/>
    <w:rsid w:val="00B92A1E"/>
    <w:rsid w:val="00BA6DF0"/>
    <w:rsid w:val="00BE45AB"/>
    <w:rsid w:val="00BE4B8C"/>
    <w:rsid w:val="00BE4EE8"/>
    <w:rsid w:val="00BE52F4"/>
    <w:rsid w:val="00BF2299"/>
    <w:rsid w:val="00C3425D"/>
    <w:rsid w:val="00C56E3B"/>
    <w:rsid w:val="00C61D5C"/>
    <w:rsid w:val="00C8045D"/>
    <w:rsid w:val="00C91C6A"/>
    <w:rsid w:val="00CA3643"/>
    <w:rsid w:val="00CA5DC8"/>
    <w:rsid w:val="00CD6E57"/>
    <w:rsid w:val="00CE12F7"/>
    <w:rsid w:val="00CE287C"/>
    <w:rsid w:val="00CF34B5"/>
    <w:rsid w:val="00D03A5A"/>
    <w:rsid w:val="00D274AF"/>
    <w:rsid w:val="00D556B3"/>
    <w:rsid w:val="00D81521"/>
    <w:rsid w:val="00D8681B"/>
    <w:rsid w:val="00D86FCB"/>
    <w:rsid w:val="00DD3965"/>
    <w:rsid w:val="00DE1CEF"/>
    <w:rsid w:val="00DE2904"/>
    <w:rsid w:val="00DE5986"/>
    <w:rsid w:val="00DE6C02"/>
    <w:rsid w:val="00DF20DB"/>
    <w:rsid w:val="00DF62CB"/>
    <w:rsid w:val="00E171EF"/>
    <w:rsid w:val="00E237BD"/>
    <w:rsid w:val="00E37018"/>
    <w:rsid w:val="00E40DA2"/>
    <w:rsid w:val="00E44D97"/>
    <w:rsid w:val="00E57FA8"/>
    <w:rsid w:val="00E7458F"/>
    <w:rsid w:val="00E763B0"/>
    <w:rsid w:val="00EC32D2"/>
    <w:rsid w:val="00ED4487"/>
    <w:rsid w:val="00EE311A"/>
    <w:rsid w:val="00EF5041"/>
    <w:rsid w:val="00F16199"/>
    <w:rsid w:val="00F27387"/>
    <w:rsid w:val="00F32956"/>
    <w:rsid w:val="00F80F7B"/>
    <w:rsid w:val="00F81DD2"/>
    <w:rsid w:val="00F934AE"/>
    <w:rsid w:val="00FA665E"/>
    <w:rsid w:val="00FD1A0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yallondon.com/SysSiteAssets/site-docs/retirement/gnapd0100-retirement-guide.pdf?utm_source=Toolkit+email+template&amp;utm_medium=Ema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A351A-060C-4358-8A41-0F92BF508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12239-FDB0-4528-9655-72C9F2D65416}">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3.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customXml/itemProps4.xml><?xml version="1.0" encoding="utf-8"?>
<ds:datastoreItem xmlns:ds="http://schemas.openxmlformats.org/officeDocument/2006/customXml" ds:itemID="{1E72B13A-CBDF-4C4D-A2F6-C90D015D2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Emma Fenty</cp:lastModifiedBy>
  <cp:revision>2</cp:revision>
  <cp:lastPrinted>2020-02-12T15:28:00Z</cp:lastPrinted>
  <dcterms:created xsi:type="dcterms:W3CDTF">2026-02-23T15:03:00Z</dcterms:created>
  <dcterms:modified xsi:type="dcterms:W3CDTF">2026-02-23T15:03:00Z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docLang">
    <vt:lpwstr>en</vt:lpwstr>
  </property>
  <property fmtid="{D5CDD505-2E9C-101B-9397-08002B2CF9AE}" pid="11" name="MediaServiceImageTags">
    <vt:lpwstr/>
  </property>
</Properties>
</file>