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4924"/>
        <w:gridCol w:w="4136"/>
      </w:tblGrid>
      <w:tr w:rsidR="00DE1CEF" w14:paraId="2C632FD0" w14:textId="77777777" w:rsidTr="6D5E54D4">
        <w:tc>
          <w:tcPr>
            <w:tcW w:w="9060" w:type="dxa"/>
            <w:gridSpan w:val="2"/>
            <w:tcBorders>
              <w:bottom w:val="nil"/>
            </w:tcBorders>
          </w:tcPr>
          <w:p w14:paraId="121AE22A" w14:textId="2A3EC1FE" w:rsidR="00DE1CEF" w:rsidRDefault="00283172" w:rsidP="00DE1CEF">
            <w:pPr>
              <w:rPr>
                <w:rFonts w:ascii="Georgia" w:hAnsi="Georgia" w:cs="Arial"/>
                <w:noProof/>
                <w:lang w:eastAsia="en-GB"/>
              </w:rPr>
            </w:pPr>
            <w:bookmarkStart w:id="0" w:name="_Hlk41991412"/>
            <w:r>
              <w:rPr>
                <w:rFonts w:ascii="Georgia" w:hAnsi="Georgia" w:cs="Arial"/>
                <w:noProof/>
                <w:lang w:eastAsia="en-GB"/>
              </w:rPr>
              <w:drawing>
                <wp:inline distT="0" distB="0" distL="0" distR="0" wp14:anchorId="34874539" wp14:editId="401E6EE7">
                  <wp:extent cx="5752021" cy="2876550"/>
                  <wp:effectExtent l="0" t="0" r="1270" b="0"/>
                  <wp:docPr id="514357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57679"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52021" cy="2876550"/>
                          </a:xfrm>
                          <a:prstGeom prst="rect">
                            <a:avLst/>
                          </a:prstGeom>
                          <a:noFill/>
                          <a:ln>
                            <a:noFill/>
                          </a:ln>
                        </pic:spPr>
                      </pic:pic>
                    </a:graphicData>
                  </a:graphic>
                </wp:inline>
              </w:drawing>
            </w:r>
          </w:p>
        </w:tc>
      </w:tr>
      <w:tr w:rsidR="00DE1CEF" w14:paraId="25E12ACF" w14:textId="77777777" w:rsidTr="007A05FE">
        <w:trPr>
          <w:trHeight w:val="2910"/>
        </w:trPr>
        <w:tc>
          <w:tcPr>
            <w:tcW w:w="9060" w:type="dxa"/>
            <w:gridSpan w:val="2"/>
            <w:tcBorders>
              <w:top w:val="nil"/>
              <w:left w:val="nil"/>
              <w:bottom w:val="nil"/>
              <w:right w:val="nil"/>
            </w:tcBorders>
            <w:tcMar>
              <w:top w:w="284" w:type="dxa"/>
              <w:left w:w="284" w:type="dxa"/>
              <w:bottom w:w="0" w:type="dxa"/>
              <w:right w:w="284" w:type="dxa"/>
            </w:tcMar>
          </w:tcPr>
          <w:p w14:paraId="07DD196C" w14:textId="77777777" w:rsidR="008C6991" w:rsidRPr="00163D81" w:rsidRDefault="008C6991" w:rsidP="008C6991">
            <w:pPr>
              <w:spacing w:after="360"/>
              <w:rPr>
                <w:rFonts w:ascii="Georgia" w:hAnsi="Georgia" w:cs="Arial"/>
                <w:b/>
                <w:bCs/>
                <w:noProof/>
                <w:sz w:val="24"/>
                <w:szCs w:val="24"/>
                <w:lang w:eastAsia="en-GB"/>
              </w:rPr>
            </w:pPr>
            <w:r w:rsidRPr="00163D81">
              <w:rPr>
                <w:rFonts w:ascii="Georgia" w:hAnsi="Georgia" w:cs="Arial"/>
                <w:b/>
                <w:bCs/>
                <w:noProof/>
                <w:sz w:val="24"/>
                <w:szCs w:val="24"/>
                <w:lang w:eastAsia="en-GB"/>
              </w:rPr>
              <w:t>Dear [</w:t>
            </w:r>
            <w:r w:rsidRPr="00163D81">
              <w:rPr>
                <w:rFonts w:ascii="Georgia" w:hAnsi="Georgia" w:cs="Arial"/>
                <w:b/>
                <w:bCs/>
                <w:noProof/>
                <w:sz w:val="24"/>
                <w:szCs w:val="24"/>
                <w:highlight w:val="yellow"/>
                <w:lang w:eastAsia="en-GB"/>
              </w:rPr>
              <w:t>insert name of employee</w:t>
            </w:r>
            <w:r w:rsidRPr="00163D81">
              <w:rPr>
                <w:rFonts w:ascii="Georgia" w:hAnsi="Georgia" w:cs="Arial"/>
                <w:b/>
                <w:bCs/>
                <w:noProof/>
                <w:sz w:val="24"/>
                <w:szCs w:val="24"/>
                <w:lang w:eastAsia="en-GB"/>
              </w:rPr>
              <w:t>],</w:t>
            </w:r>
          </w:p>
          <w:p w14:paraId="4824F324" w14:textId="77777777" w:rsidR="008C6991" w:rsidRPr="00163D81" w:rsidRDefault="008C6991" w:rsidP="008C6991">
            <w:pPr>
              <w:spacing w:after="240"/>
              <w:rPr>
                <w:rFonts w:ascii="Georgia" w:hAnsi="Georgia" w:cs="Arial"/>
                <w:noProof/>
                <w:color w:val="333333"/>
                <w:sz w:val="24"/>
                <w:szCs w:val="24"/>
                <w:lang w:eastAsia="en-GB"/>
              </w:rPr>
            </w:pPr>
            <w:r w:rsidRPr="00163D81">
              <w:rPr>
                <w:rFonts w:ascii="Georgia" w:hAnsi="Georgia" w:cs="Arial"/>
                <w:noProof/>
                <w:color w:val="333333"/>
                <w:sz w:val="24"/>
                <w:szCs w:val="24"/>
                <w:lang w:eastAsia="en-GB"/>
              </w:rPr>
              <w:t xml:space="preserve">To help you save for the future, we’ve set up a workplace pension scheme with Royal London. </w:t>
            </w:r>
          </w:p>
          <w:p w14:paraId="0FF27CA3" w14:textId="77777777" w:rsidR="008F6FFC" w:rsidRDefault="008C6991" w:rsidP="005579D3">
            <w:pPr>
              <w:spacing w:after="240" w:line="252" w:lineRule="auto"/>
              <w:rPr>
                <w:rFonts w:ascii="Georgia" w:eastAsia="Times New Roman" w:hAnsi="Georgia"/>
                <w:sz w:val="24"/>
                <w:szCs w:val="24"/>
              </w:rPr>
            </w:pPr>
            <w:r w:rsidRPr="6D5E54D4">
              <w:rPr>
                <w:rFonts w:ascii="Georgia" w:eastAsia="Times New Roman" w:hAnsi="Georgia"/>
                <w:sz w:val="24"/>
                <w:szCs w:val="24"/>
              </w:rPr>
              <w:t xml:space="preserve">Your existing pension savings with </w:t>
            </w:r>
            <w:r w:rsidRPr="005579D3">
              <w:rPr>
                <w:rFonts w:ascii="Georgia" w:eastAsia="Times New Roman" w:hAnsi="Georgia"/>
                <w:sz w:val="24"/>
                <w:szCs w:val="24"/>
              </w:rPr>
              <w:t>[</w:t>
            </w:r>
            <w:r w:rsidRPr="005579D3">
              <w:rPr>
                <w:rFonts w:ascii="Georgia" w:eastAsia="Times New Roman" w:hAnsi="Georgia"/>
                <w:sz w:val="24"/>
                <w:szCs w:val="24"/>
                <w:highlight w:val="yellow"/>
              </w:rPr>
              <w:t>insert name of previous provider</w:t>
            </w:r>
            <w:r w:rsidRPr="005579D3">
              <w:rPr>
                <w:rFonts w:ascii="Georgia" w:eastAsia="Times New Roman" w:hAnsi="Georgia"/>
                <w:sz w:val="24"/>
                <w:szCs w:val="24"/>
              </w:rPr>
              <w:t xml:space="preserve">,] </w:t>
            </w:r>
            <w:r w:rsidRPr="6D5E54D4">
              <w:rPr>
                <w:rFonts w:ascii="Georgia" w:eastAsia="Times New Roman" w:hAnsi="Georgia"/>
                <w:sz w:val="24"/>
                <w:szCs w:val="24"/>
              </w:rPr>
              <w:t xml:space="preserve">won’t automatically transfer to your new plan with Royal London. </w:t>
            </w:r>
            <w:r w:rsidR="00237DDB" w:rsidRPr="6D5E54D4">
              <w:rPr>
                <w:rFonts w:ascii="Georgia" w:eastAsia="Times New Roman" w:hAnsi="Georgia"/>
                <w:sz w:val="24"/>
                <w:szCs w:val="24"/>
              </w:rPr>
              <w:t>They’ll</w:t>
            </w:r>
            <w:r w:rsidR="004129D0" w:rsidRPr="6D5E54D4">
              <w:rPr>
                <w:rFonts w:ascii="Georgia" w:eastAsia="Times New Roman" w:hAnsi="Georgia"/>
                <w:sz w:val="24"/>
                <w:szCs w:val="24"/>
              </w:rPr>
              <w:t xml:space="preserve"> </w:t>
            </w:r>
            <w:r w:rsidRPr="005579D3">
              <w:rPr>
                <w:rFonts w:ascii="Georgia" w:eastAsia="Times New Roman" w:hAnsi="Georgia"/>
                <w:sz w:val="24"/>
                <w:szCs w:val="24"/>
              </w:rPr>
              <w:t xml:space="preserve">be in touch to tell you more about the option to transfer </w:t>
            </w:r>
            <w:r w:rsidR="005C5FE4">
              <w:rPr>
                <w:rFonts w:ascii="Georgia" w:eastAsia="Times New Roman" w:hAnsi="Georgia"/>
                <w:sz w:val="24"/>
                <w:szCs w:val="24"/>
              </w:rPr>
              <w:t xml:space="preserve">using </w:t>
            </w:r>
            <w:r w:rsidR="00D82298">
              <w:rPr>
                <w:rFonts w:ascii="Georgia" w:eastAsia="Times New Roman" w:hAnsi="Georgia"/>
                <w:sz w:val="24"/>
                <w:szCs w:val="24"/>
              </w:rPr>
              <w:t>their</w:t>
            </w:r>
            <w:r w:rsidR="00B56853">
              <w:rPr>
                <w:rFonts w:ascii="Georgia" w:eastAsia="Times New Roman" w:hAnsi="Georgia"/>
                <w:sz w:val="24"/>
                <w:szCs w:val="24"/>
              </w:rPr>
              <w:t xml:space="preserve"> workplace transfer service</w:t>
            </w:r>
            <w:r w:rsidR="00A26FD5">
              <w:rPr>
                <w:rFonts w:ascii="Georgia" w:eastAsia="Times New Roman" w:hAnsi="Georgia"/>
                <w:sz w:val="24"/>
                <w:szCs w:val="24"/>
              </w:rPr>
              <w:t xml:space="preserve">. </w:t>
            </w:r>
          </w:p>
          <w:p w14:paraId="742E0E22" w14:textId="375DDA0C" w:rsidR="00550CB2" w:rsidRPr="00CF5177" w:rsidRDefault="00E13322" w:rsidP="005579D3">
            <w:pPr>
              <w:spacing w:after="240" w:line="252" w:lineRule="auto"/>
              <w:rPr>
                <w:rFonts w:ascii="Georgia" w:eastAsia="Times New Roman" w:hAnsi="Georgia"/>
                <w:sz w:val="24"/>
                <w:szCs w:val="24"/>
              </w:rPr>
            </w:pPr>
            <w:r>
              <w:rPr>
                <w:rFonts w:ascii="Georgia" w:eastAsia="Times New Roman" w:hAnsi="Georgia"/>
                <w:sz w:val="24"/>
                <w:szCs w:val="24"/>
              </w:rPr>
              <w:t>As part of the service</w:t>
            </w:r>
            <w:r w:rsidR="00C75E81">
              <w:rPr>
                <w:rFonts w:ascii="Georgia" w:eastAsia="Times New Roman" w:hAnsi="Georgia"/>
                <w:sz w:val="24"/>
                <w:szCs w:val="24"/>
              </w:rPr>
              <w:t>,</w:t>
            </w:r>
            <w:r>
              <w:rPr>
                <w:rFonts w:ascii="Georgia" w:eastAsia="Times New Roman" w:hAnsi="Georgia"/>
                <w:sz w:val="24"/>
                <w:szCs w:val="24"/>
              </w:rPr>
              <w:t xml:space="preserve"> </w:t>
            </w:r>
            <w:r w:rsidR="00B674DB">
              <w:rPr>
                <w:rFonts w:ascii="Georgia" w:eastAsia="Times New Roman" w:hAnsi="Georgia"/>
                <w:sz w:val="24"/>
                <w:szCs w:val="24"/>
              </w:rPr>
              <w:t xml:space="preserve">they check if your pension has any special features </w:t>
            </w:r>
            <w:r w:rsidR="00B040B2">
              <w:rPr>
                <w:rFonts w:ascii="Georgia" w:eastAsia="Times New Roman" w:hAnsi="Georgia"/>
                <w:sz w:val="24"/>
                <w:szCs w:val="24"/>
              </w:rPr>
              <w:t xml:space="preserve">and make sure you keep these if </w:t>
            </w:r>
            <w:r w:rsidR="00FF6BED">
              <w:rPr>
                <w:rFonts w:ascii="Georgia" w:eastAsia="Times New Roman" w:hAnsi="Georgia"/>
                <w:sz w:val="24"/>
                <w:szCs w:val="24"/>
              </w:rPr>
              <w:t>you decide to transfer</w:t>
            </w:r>
            <w:r w:rsidR="00380B3A">
              <w:rPr>
                <w:rFonts w:ascii="Georgia" w:eastAsia="Times New Roman" w:hAnsi="Georgia"/>
                <w:sz w:val="24"/>
                <w:szCs w:val="24"/>
              </w:rPr>
              <w:t>.</w:t>
            </w:r>
            <w:r w:rsidR="008F6FFC">
              <w:rPr>
                <w:rFonts w:ascii="Georgia" w:eastAsia="Times New Roman" w:hAnsi="Georgia"/>
                <w:sz w:val="24"/>
                <w:szCs w:val="24"/>
              </w:rPr>
              <w:t xml:space="preserve"> </w:t>
            </w:r>
            <w:r w:rsidR="00DE0741">
              <w:rPr>
                <w:rFonts w:ascii="Georgia" w:eastAsia="Times New Roman" w:hAnsi="Georgia"/>
                <w:sz w:val="24"/>
                <w:szCs w:val="24"/>
              </w:rPr>
              <w:t xml:space="preserve">Royal London will </w:t>
            </w:r>
            <w:r w:rsidR="0079764B">
              <w:rPr>
                <w:rFonts w:ascii="Georgia" w:eastAsia="Times New Roman" w:hAnsi="Georgia"/>
                <w:sz w:val="24"/>
                <w:szCs w:val="24"/>
              </w:rPr>
              <w:t xml:space="preserve">also </w:t>
            </w:r>
            <w:r w:rsidR="008F6FFC">
              <w:rPr>
                <w:rFonts w:ascii="Georgia" w:eastAsia="Times New Roman" w:hAnsi="Georgia"/>
                <w:sz w:val="24"/>
                <w:szCs w:val="24"/>
              </w:rPr>
              <w:t>tell</w:t>
            </w:r>
            <w:r w:rsidR="0079764B">
              <w:rPr>
                <w:rFonts w:ascii="Georgia" w:eastAsia="Times New Roman" w:hAnsi="Georgia"/>
                <w:sz w:val="24"/>
                <w:szCs w:val="24"/>
              </w:rPr>
              <w:t xml:space="preserve"> you </w:t>
            </w:r>
            <w:r w:rsidR="00CB30C3">
              <w:rPr>
                <w:rFonts w:ascii="Georgia" w:eastAsia="Times New Roman" w:hAnsi="Georgia"/>
                <w:sz w:val="24"/>
                <w:szCs w:val="24"/>
              </w:rPr>
              <w:t xml:space="preserve">when </w:t>
            </w:r>
            <w:r w:rsidR="00624DF3">
              <w:rPr>
                <w:rFonts w:ascii="Georgia" w:eastAsia="Times New Roman" w:hAnsi="Georgia"/>
                <w:sz w:val="24"/>
                <w:szCs w:val="24"/>
              </w:rPr>
              <w:t>your workplace pension transfer</w:t>
            </w:r>
            <w:r w:rsidR="00CB30C3">
              <w:rPr>
                <w:rFonts w:ascii="Georgia" w:eastAsia="Times New Roman" w:hAnsi="Georgia"/>
                <w:sz w:val="24"/>
                <w:szCs w:val="24"/>
              </w:rPr>
              <w:t xml:space="preserve"> </w:t>
            </w:r>
            <w:r w:rsidR="00F07B7B">
              <w:rPr>
                <w:rFonts w:ascii="Georgia" w:eastAsia="Times New Roman" w:hAnsi="Georgia"/>
                <w:sz w:val="24"/>
                <w:szCs w:val="24"/>
              </w:rPr>
              <w:t xml:space="preserve">service </w:t>
            </w:r>
            <w:r w:rsidR="00624DF3">
              <w:rPr>
                <w:rFonts w:ascii="Georgia" w:eastAsia="Times New Roman" w:hAnsi="Georgia"/>
                <w:sz w:val="24"/>
                <w:szCs w:val="24"/>
              </w:rPr>
              <w:t xml:space="preserve">window </w:t>
            </w:r>
            <w:r w:rsidR="00F07B7B">
              <w:rPr>
                <w:rFonts w:ascii="Georgia" w:eastAsia="Times New Roman" w:hAnsi="Georgia"/>
                <w:sz w:val="24"/>
                <w:szCs w:val="24"/>
              </w:rPr>
              <w:t xml:space="preserve">opens and </w:t>
            </w:r>
            <w:r w:rsidR="00624DF3">
              <w:rPr>
                <w:rFonts w:ascii="Georgia" w:eastAsia="Times New Roman" w:hAnsi="Georgia"/>
                <w:sz w:val="24"/>
                <w:szCs w:val="24"/>
              </w:rPr>
              <w:t xml:space="preserve">closes. </w:t>
            </w:r>
            <w:r w:rsidR="00DE0741">
              <w:rPr>
                <w:rFonts w:ascii="Georgia" w:eastAsia="Times New Roman" w:hAnsi="Georgia"/>
                <w:sz w:val="24"/>
                <w:szCs w:val="24"/>
              </w:rPr>
              <w:t xml:space="preserve"> </w:t>
            </w:r>
            <w:r w:rsidR="00B674DB">
              <w:rPr>
                <w:rFonts w:ascii="Georgia" w:eastAsia="Times New Roman" w:hAnsi="Georgia"/>
                <w:sz w:val="24"/>
                <w:szCs w:val="24"/>
              </w:rPr>
              <w:t xml:space="preserve"> </w:t>
            </w:r>
            <w:r>
              <w:rPr>
                <w:rFonts w:ascii="Georgia" w:eastAsia="Times New Roman" w:hAnsi="Georgia"/>
                <w:sz w:val="24"/>
                <w:szCs w:val="24"/>
              </w:rPr>
              <w:t xml:space="preserve"> </w:t>
            </w:r>
          </w:p>
        </w:tc>
      </w:tr>
      <w:tr w:rsidR="0028592F" w14:paraId="11F6A05C" w14:textId="77777777" w:rsidTr="007A05FE">
        <w:trPr>
          <w:trHeight w:val="2268"/>
        </w:trPr>
        <w:tc>
          <w:tcPr>
            <w:tcW w:w="9060" w:type="dxa"/>
            <w:gridSpan w:val="2"/>
            <w:tcBorders>
              <w:top w:val="nil"/>
              <w:left w:val="nil"/>
              <w:bottom w:val="nil"/>
              <w:right w:val="nil"/>
            </w:tcBorders>
            <w:shd w:val="clear" w:color="auto" w:fill="ECE5EE"/>
            <w:tcMar>
              <w:top w:w="284" w:type="dxa"/>
              <w:left w:w="284" w:type="dxa"/>
              <w:bottom w:w="113" w:type="dxa"/>
              <w:right w:w="284" w:type="dxa"/>
            </w:tcMar>
          </w:tcPr>
          <w:p w14:paraId="3CFFD17D" w14:textId="49D53897" w:rsidR="0028592F" w:rsidRPr="00F80ABD" w:rsidRDefault="0028592F" w:rsidP="007A05FE">
            <w:pPr>
              <w:tabs>
                <w:tab w:val="left" w:pos="4605"/>
                <w:tab w:val="left" w:pos="5430"/>
              </w:tabs>
              <w:spacing w:after="240" w:line="252" w:lineRule="auto"/>
              <w:rPr>
                <w:rFonts w:cs="Arial"/>
                <w:b/>
                <w:bCs/>
                <w:noProof/>
                <w:color w:val="470054"/>
                <w:sz w:val="24"/>
                <w:szCs w:val="24"/>
                <w:lang w:eastAsia="en-GB"/>
              </w:rPr>
            </w:pPr>
            <w:r w:rsidRPr="00F80ABD">
              <w:rPr>
                <w:rFonts w:cs="Arial"/>
                <w:b/>
                <w:bCs/>
                <w:noProof/>
                <w:color w:val="470054"/>
                <w:sz w:val="24"/>
                <w:szCs w:val="24"/>
                <w:lang w:eastAsia="en-GB"/>
              </w:rPr>
              <w:t>Next steps</w:t>
            </w:r>
            <w:r w:rsidR="007A05FE">
              <w:rPr>
                <w:rFonts w:cs="Arial"/>
                <w:b/>
                <w:bCs/>
                <w:noProof/>
                <w:color w:val="470054"/>
                <w:sz w:val="24"/>
                <w:szCs w:val="24"/>
                <w:lang w:eastAsia="en-GB"/>
              </w:rPr>
              <w:tab/>
            </w:r>
            <w:r w:rsidR="007A05FE">
              <w:rPr>
                <w:rFonts w:cs="Arial"/>
                <w:b/>
                <w:bCs/>
                <w:noProof/>
                <w:color w:val="470054"/>
                <w:sz w:val="24"/>
                <w:szCs w:val="24"/>
                <w:lang w:eastAsia="en-GB"/>
              </w:rPr>
              <w:tab/>
            </w:r>
          </w:p>
          <w:p w14:paraId="3D1475E3" w14:textId="56AECA0B" w:rsidR="0028592F" w:rsidRDefault="0028592F" w:rsidP="0028592F">
            <w:pPr>
              <w:spacing w:after="240" w:line="252" w:lineRule="auto"/>
              <w:rPr>
                <w:rFonts w:ascii="Georgia" w:hAnsi="Georgia" w:cs="Arial"/>
                <w:sz w:val="24"/>
                <w:szCs w:val="24"/>
              </w:rPr>
            </w:pPr>
            <w:r w:rsidRPr="6D5E54D4">
              <w:rPr>
                <w:rFonts w:ascii="Georgia" w:hAnsi="Georgia" w:cs="Arial"/>
                <w:sz w:val="24"/>
                <w:szCs w:val="24"/>
              </w:rPr>
              <w:t>When the transfer window open</w:t>
            </w:r>
            <w:r>
              <w:rPr>
                <w:rFonts w:ascii="Georgia" w:hAnsi="Georgia" w:cs="Arial"/>
                <w:sz w:val="24"/>
                <w:szCs w:val="24"/>
              </w:rPr>
              <w:t>s</w:t>
            </w:r>
            <w:r w:rsidRPr="6D5E54D4">
              <w:rPr>
                <w:rFonts w:ascii="Georgia" w:hAnsi="Georgia" w:cs="Arial"/>
                <w:sz w:val="24"/>
                <w:szCs w:val="24"/>
              </w:rPr>
              <w:t>, Royal London will let you know. You’ll receive a transfer pack by [</w:t>
            </w:r>
            <w:r w:rsidRPr="00D86802">
              <w:rPr>
                <w:rFonts w:ascii="Georgia" w:hAnsi="Georgia" w:cs="Arial"/>
                <w:sz w:val="24"/>
                <w:szCs w:val="24"/>
                <w:highlight w:val="yellow"/>
              </w:rPr>
              <w:t>post or email</w:t>
            </w:r>
            <w:r w:rsidRPr="6D5E54D4">
              <w:rPr>
                <w:rFonts w:ascii="Georgia" w:hAnsi="Georgia" w:cs="Arial"/>
                <w:sz w:val="24"/>
                <w:szCs w:val="24"/>
              </w:rPr>
              <w:t>]. This will explain the transfer process, the key considerations and the steps you need to take</w:t>
            </w:r>
            <w:r w:rsidR="00756852">
              <w:rPr>
                <w:rFonts w:ascii="Georgia" w:hAnsi="Georgia" w:cs="Arial"/>
                <w:sz w:val="24"/>
                <w:szCs w:val="24"/>
              </w:rPr>
              <w:t xml:space="preserve"> to combine your pension savings into one plan.</w:t>
            </w:r>
            <w:r w:rsidRPr="6D5E54D4">
              <w:rPr>
                <w:rFonts w:ascii="Georgia" w:hAnsi="Georgia" w:cs="Arial"/>
                <w:sz w:val="24"/>
                <w:szCs w:val="24"/>
              </w:rPr>
              <w:t xml:space="preserve"> </w:t>
            </w:r>
          </w:p>
          <w:p w14:paraId="2841DA16" w14:textId="77777777" w:rsidR="00814258" w:rsidRDefault="0028592F" w:rsidP="0028592F">
            <w:pPr>
              <w:spacing w:after="240" w:line="252" w:lineRule="auto"/>
              <w:rPr>
                <w:rFonts w:ascii="Georgia" w:eastAsia="Times New Roman" w:hAnsi="Georgia"/>
                <w:b/>
                <w:bCs/>
                <w:sz w:val="24"/>
                <w:szCs w:val="24"/>
              </w:rPr>
            </w:pPr>
            <w:r w:rsidRPr="00103720">
              <w:rPr>
                <w:rFonts w:ascii="Georgia" w:eastAsia="Times New Roman" w:hAnsi="Georgia"/>
                <w:b/>
                <w:bCs/>
                <w:sz w:val="24"/>
                <w:szCs w:val="24"/>
              </w:rPr>
              <w:t>If you decide to transfer your pension savings, it’s important to act within the transfer window to</w:t>
            </w:r>
            <w:r w:rsidR="0047269A">
              <w:rPr>
                <w:rFonts w:ascii="Georgia" w:eastAsia="Times New Roman" w:hAnsi="Georgia"/>
                <w:b/>
                <w:bCs/>
                <w:sz w:val="24"/>
                <w:szCs w:val="24"/>
              </w:rPr>
              <w:t xml:space="preserve"> use this option</w:t>
            </w:r>
            <w:r w:rsidRPr="00103720">
              <w:rPr>
                <w:rFonts w:ascii="Georgia" w:eastAsia="Times New Roman" w:hAnsi="Georgia"/>
                <w:b/>
                <w:bCs/>
                <w:sz w:val="24"/>
                <w:szCs w:val="24"/>
              </w:rPr>
              <w:t>.</w:t>
            </w:r>
            <w:r w:rsidR="00814258">
              <w:rPr>
                <w:rFonts w:ascii="Georgia" w:eastAsia="Times New Roman" w:hAnsi="Georgia"/>
                <w:b/>
                <w:bCs/>
                <w:sz w:val="24"/>
                <w:szCs w:val="24"/>
              </w:rPr>
              <w:t xml:space="preserve"> </w:t>
            </w:r>
          </w:p>
          <w:p w14:paraId="6C584908" w14:textId="0AF5E5BA" w:rsidR="0028592F" w:rsidRPr="00814258" w:rsidRDefault="00CE4F3D" w:rsidP="0028592F">
            <w:pPr>
              <w:spacing w:after="240" w:line="252" w:lineRule="auto"/>
              <w:rPr>
                <w:rFonts w:ascii="Georgia" w:hAnsi="Georgia" w:cs="Arial"/>
                <w:noProof/>
                <w:sz w:val="24"/>
                <w:szCs w:val="24"/>
                <w:lang w:eastAsia="en-GB"/>
              </w:rPr>
            </w:pPr>
            <w:r>
              <w:rPr>
                <w:rFonts w:ascii="Georgia" w:eastAsia="Times New Roman" w:hAnsi="Georgia"/>
                <w:sz w:val="24"/>
                <w:szCs w:val="24"/>
              </w:rPr>
              <w:t>Y</w:t>
            </w:r>
            <w:r w:rsidR="00814258" w:rsidRPr="00814258">
              <w:rPr>
                <w:rFonts w:ascii="Georgia" w:eastAsia="Times New Roman" w:hAnsi="Georgia"/>
                <w:sz w:val="24"/>
                <w:szCs w:val="24"/>
              </w:rPr>
              <w:t>ou can still decide to transfer</w:t>
            </w:r>
            <w:r w:rsidR="00FC6A54">
              <w:rPr>
                <w:rFonts w:ascii="Georgia" w:eastAsia="Times New Roman" w:hAnsi="Georgia"/>
                <w:sz w:val="24"/>
                <w:szCs w:val="24"/>
              </w:rPr>
              <w:t xml:space="preserve"> </w:t>
            </w:r>
            <w:r w:rsidR="00CF0F1C">
              <w:rPr>
                <w:rFonts w:ascii="Georgia" w:eastAsia="Times New Roman" w:hAnsi="Georgia"/>
                <w:sz w:val="24"/>
                <w:szCs w:val="24"/>
              </w:rPr>
              <w:t xml:space="preserve">after your window </w:t>
            </w:r>
            <w:r w:rsidR="00B94893">
              <w:rPr>
                <w:rFonts w:ascii="Georgia" w:eastAsia="Times New Roman" w:hAnsi="Georgia"/>
                <w:sz w:val="24"/>
                <w:szCs w:val="24"/>
              </w:rPr>
              <w:t>has closed;</w:t>
            </w:r>
            <w:r w:rsidR="00CF0F1C">
              <w:rPr>
                <w:rFonts w:ascii="Georgia" w:eastAsia="Times New Roman" w:hAnsi="Georgia"/>
                <w:sz w:val="24"/>
                <w:szCs w:val="24"/>
              </w:rPr>
              <w:t xml:space="preserve"> </w:t>
            </w:r>
            <w:r w:rsidR="00CF5177" w:rsidRPr="00814258">
              <w:rPr>
                <w:rFonts w:ascii="Georgia" w:eastAsia="Times New Roman" w:hAnsi="Georgia"/>
                <w:sz w:val="24"/>
                <w:szCs w:val="24"/>
              </w:rPr>
              <w:t>however,</w:t>
            </w:r>
            <w:r w:rsidR="00814258" w:rsidRPr="00814258">
              <w:rPr>
                <w:rFonts w:ascii="Georgia" w:eastAsia="Times New Roman" w:hAnsi="Georgia"/>
                <w:sz w:val="24"/>
                <w:szCs w:val="24"/>
              </w:rPr>
              <w:t xml:space="preserve"> </w:t>
            </w:r>
            <w:r w:rsidR="00343873" w:rsidRPr="00343873">
              <w:rPr>
                <w:rFonts w:ascii="Georgia" w:eastAsia="Times New Roman" w:hAnsi="Georgia"/>
                <w:sz w:val="24"/>
                <w:szCs w:val="24"/>
              </w:rPr>
              <w:t>y</w:t>
            </w:r>
            <w:r w:rsidR="00CF5177">
              <w:rPr>
                <w:rFonts w:ascii="Georgia" w:eastAsia="Times New Roman" w:hAnsi="Georgia"/>
                <w:sz w:val="24"/>
                <w:szCs w:val="24"/>
              </w:rPr>
              <w:t xml:space="preserve">ou </w:t>
            </w:r>
            <w:r w:rsidR="002B62C8">
              <w:rPr>
                <w:rFonts w:ascii="Georgia" w:eastAsia="Times New Roman" w:hAnsi="Georgia"/>
                <w:sz w:val="24"/>
                <w:szCs w:val="24"/>
              </w:rPr>
              <w:t>won’t</w:t>
            </w:r>
            <w:r w:rsidR="00920689">
              <w:rPr>
                <w:rFonts w:ascii="Georgia" w:eastAsia="Times New Roman" w:hAnsi="Georgia"/>
                <w:sz w:val="24"/>
                <w:szCs w:val="24"/>
              </w:rPr>
              <w:t xml:space="preserve"> be able to use the workplace pension transfer service</w:t>
            </w:r>
            <w:r w:rsidR="0079764B">
              <w:rPr>
                <w:rFonts w:ascii="Georgia" w:eastAsia="Times New Roman" w:hAnsi="Georgia"/>
                <w:sz w:val="24"/>
                <w:szCs w:val="24"/>
              </w:rPr>
              <w:t>.</w:t>
            </w:r>
            <w:r w:rsidR="00CF5177">
              <w:rPr>
                <w:rFonts w:ascii="Georgia" w:eastAsia="Times New Roman" w:hAnsi="Georgia"/>
                <w:sz w:val="24"/>
                <w:szCs w:val="24"/>
              </w:rPr>
              <w:t xml:space="preserve"> </w:t>
            </w:r>
          </w:p>
        </w:tc>
      </w:tr>
      <w:tr w:rsidR="0028592F" w14:paraId="606EE995" w14:textId="77777777" w:rsidTr="007A05FE">
        <w:trPr>
          <w:trHeight w:val="3150"/>
        </w:trPr>
        <w:tc>
          <w:tcPr>
            <w:tcW w:w="9060" w:type="dxa"/>
            <w:gridSpan w:val="2"/>
            <w:tcBorders>
              <w:top w:val="nil"/>
              <w:left w:val="nil"/>
              <w:bottom w:val="nil"/>
              <w:right w:val="nil"/>
            </w:tcBorders>
            <w:tcMar>
              <w:top w:w="284" w:type="dxa"/>
              <w:left w:w="284" w:type="dxa"/>
              <w:bottom w:w="284" w:type="dxa"/>
              <w:right w:w="284" w:type="dxa"/>
            </w:tcMar>
          </w:tcPr>
          <w:p w14:paraId="35DDFE1D" w14:textId="77777777" w:rsidR="00E56F3B" w:rsidRPr="00F80ABD" w:rsidRDefault="00E56F3B" w:rsidP="00E56F3B">
            <w:pPr>
              <w:spacing w:after="240" w:line="252" w:lineRule="auto"/>
              <w:rPr>
                <w:rFonts w:cs="Arial"/>
                <w:b/>
                <w:bCs/>
                <w:noProof/>
                <w:color w:val="470054"/>
                <w:sz w:val="24"/>
                <w:szCs w:val="24"/>
                <w:lang w:eastAsia="en-GB"/>
              </w:rPr>
            </w:pPr>
            <w:r w:rsidRPr="00F80ABD">
              <w:rPr>
                <w:rFonts w:cs="Arial"/>
                <w:b/>
                <w:bCs/>
                <w:noProof/>
                <w:color w:val="470054"/>
                <w:sz w:val="24"/>
                <w:szCs w:val="24"/>
                <w:lang w:eastAsia="en-GB"/>
              </w:rPr>
              <w:lastRenderedPageBreak/>
              <w:t>Not sure whether transferring your pension is the right choice?</w:t>
            </w:r>
          </w:p>
          <w:p w14:paraId="4D03766D" w14:textId="77777777" w:rsidR="0028592F" w:rsidRPr="00163D81" w:rsidRDefault="0028592F" w:rsidP="0028592F">
            <w:pPr>
              <w:spacing w:after="240" w:line="252" w:lineRule="auto"/>
              <w:rPr>
                <w:rFonts w:ascii="Georgia" w:eastAsia="Georgia" w:hAnsi="Georgia" w:cs="Georgia"/>
                <w:color w:val="333333"/>
                <w:sz w:val="24"/>
                <w:szCs w:val="24"/>
              </w:rPr>
            </w:pPr>
            <w:r w:rsidRPr="6D5E54D4">
              <w:rPr>
                <w:rFonts w:ascii="Georgia" w:eastAsia="Times New Roman" w:hAnsi="Georgia"/>
                <w:sz w:val="24"/>
                <w:szCs w:val="24"/>
              </w:rPr>
              <w:t>I</w:t>
            </w:r>
            <w:r w:rsidRPr="6D5E54D4">
              <w:rPr>
                <w:rFonts w:ascii="Georgia" w:eastAsia="Georgia" w:hAnsi="Georgia" w:cs="Georgia"/>
                <w:color w:val="333333"/>
                <w:sz w:val="24"/>
                <w:szCs w:val="24"/>
              </w:rPr>
              <w:t xml:space="preserve">f you’re not sure whether transferring your pension savings is right for you, you should speak to a financial adviser. If you don’t already have an adviser, </w:t>
            </w:r>
            <w:hyperlink r:id="rId11">
              <w:r w:rsidRPr="6D5E54D4">
                <w:rPr>
                  <w:rStyle w:val="Hyperlink"/>
                  <w:rFonts w:ascii="Georgia" w:eastAsia="Georgia" w:hAnsi="Georgia" w:cs="Georgia"/>
                  <w:sz w:val="24"/>
                  <w:szCs w:val="24"/>
                </w:rPr>
                <w:t>you can find one here</w:t>
              </w:r>
            </w:hyperlink>
            <w:r w:rsidRPr="6D5E54D4">
              <w:rPr>
                <w:rFonts w:ascii="Georgia" w:eastAsia="Georgia" w:hAnsi="Georgia" w:cs="Georgia"/>
                <w:color w:val="333333"/>
                <w:sz w:val="24"/>
                <w:szCs w:val="24"/>
              </w:rPr>
              <w:t>. Advisers may charge for their services – but they should agree any fees with you up front.</w:t>
            </w:r>
          </w:p>
          <w:p w14:paraId="18E321F8" w14:textId="77777777" w:rsidR="0028592F" w:rsidRPr="00163D81" w:rsidRDefault="0028592F" w:rsidP="0028592F">
            <w:pPr>
              <w:spacing w:after="240" w:line="252" w:lineRule="auto"/>
              <w:rPr>
                <w:rFonts w:ascii="Georgia" w:eastAsia="Times New Roman" w:hAnsi="Georgia"/>
                <w:sz w:val="24"/>
                <w:szCs w:val="24"/>
              </w:rPr>
            </w:pPr>
            <w:r w:rsidRPr="6D5E54D4">
              <w:rPr>
                <w:rFonts w:ascii="Georgia" w:eastAsia="Times New Roman" w:hAnsi="Georgia"/>
                <w:sz w:val="24"/>
                <w:szCs w:val="24"/>
              </w:rPr>
              <w:t>If you have any questions about the new workplace pension scheme, please don’t hesitate to get in touch.</w:t>
            </w:r>
          </w:p>
          <w:p w14:paraId="5C9AEFEC" w14:textId="77777777" w:rsidR="0028592F" w:rsidRPr="00163D81" w:rsidRDefault="0028592F" w:rsidP="0028592F">
            <w:pPr>
              <w:spacing w:after="240"/>
              <w:rPr>
                <w:rFonts w:ascii="Georgia" w:hAnsi="Georgia" w:cs="Arial"/>
                <w:noProof/>
                <w:color w:val="333333"/>
                <w:sz w:val="24"/>
                <w:szCs w:val="24"/>
                <w:lang w:eastAsia="en-GB"/>
              </w:rPr>
            </w:pPr>
            <w:r w:rsidRPr="00163D81">
              <w:rPr>
                <w:rFonts w:ascii="Georgia" w:hAnsi="Georgia" w:cs="Arial"/>
                <w:noProof/>
                <w:color w:val="333333"/>
                <w:sz w:val="24"/>
                <w:szCs w:val="24"/>
                <w:lang w:eastAsia="en-GB"/>
              </w:rPr>
              <w:t>Yours sincerely,</w:t>
            </w:r>
          </w:p>
          <w:p w14:paraId="3EF31FDA" w14:textId="77777777" w:rsidR="0028592F" w:rsidRPr="00163D81" w:rsidRDefault="0028592F" w:rsidP="0028592F">
            <w:pPr>
              <w:spacing w:after="240"/>
              <w:rPr>
                <w:rFonts w:cs="Arial"/>
                <w:b/>
                <w:bCs/>
                <w:noProof/>
                <w:sz w:val="24"/>
                <w:szCs w:val="24"/>
                <w:lang w:eastAsia="en-GB"/>
              </w:rPr>
            </w:pPr>
            <w:r w:rsidRPr="00163D81">
              <w:rPr>
                <w:rFonts w:cs="Arial"/>
                <w:b/>
                <w:bCs/>
                <w:noProof/>
                <w:sz w:val="24"/>
                <w:szCs w:val="24"/>
                <w:lang w:eastAsia="en-GB"/>
              </w:rPr>
              <w:t>[</w:t>
            </w:r>
            <w:r w:rsidRPr="00163D81">
              <w:rPr>
                <w:rFonts w:cs="Arial"/>
                <w:b/>
                <w:bCs/>
                <w:noProof/>
                <w:sz w:val="24"/>
                <w:szCs w:val="24"/>
                <w:highlight w:val="yellow"/>
                <w:lang w:eastAsia="en-GB"/>
              </w:rPr>
              <w:t>Name Surname</w:t>
            </w:r>
            <w:r w:rsidRPr="00163D81">
              <w:rPr>
                <w:rFonts w:cs="Arial"/>
                <w:b/>
                <w:bCs/>
                <w:noProof/>
                <w:sz w:val="24"/>
                <w:szCs w:val="24"/>
                <w:lang w:eastAsia="en-GB"/>
              </w:rPr>
              <w:t>]</w:t>
            </w:r>
          </w:p>
          <w:p w14:paraId="1019D659" w14:textId="77777777" w:rsidR="0028592F" w:rsidRPr="00163D81" w:rsidRDefault="0028592F" w:rsidP="0028592F">
            <w:pPr>
              <w:rPr>
                <w:rFonts w:cs="Arial"/>
                <w:b/>
                <w:bCs/>
                <w:noProof/>
                <w:color w:val="333333"/>
                <w:sz w:val="24"/>
                <w:szCs w:val="24"/>
                <w:lang w:eastAsia="en-GB"/>
              </w:rPr>
            </w:pPr>
            <w:r w:rsidRPr="00163D81">
              <w:rPr>
                <w:rFonts w:cs="Arial"/>
                <w:b/>
                <w:bCs/>
                <w:noProof/>
                <w:color w:val="333333"/>
                <w:sz w:val="24"/>
                <w:szCs w:val="24"/>
                <w:lang w:eastAsia="en-GB"/>
              </w:rPr>
              <w:t>[</w:t>
            </w:r>
            <w:r w:rsidRPr="00163D81">
              <w:rPr>
                <w:rFonts w:cs="Arial"/>
                <w:b/>
                <w:bCs/>
                <w:noProof/>
                <w:color w:val="333333"/>
                <w:sz w:val="24"/>
                <w:szCs w:val="24"/>
                <w:highlight w:val="yellow"/>
                <w:lang w:eastAsia="en-GB"/>
              </w:rPr>
              <w:t>Title</w:t>
            </w:r>
            <w:r w:rsidRPr="00163D81">
              <w:rPr>
                <w:rFonts w:cs="Arial"/>
                <w:b/>
                <w:bCs/>
                <w:noProof/>
                <w:color w:val="333333"/>
                <w:sz w:val="24"/>
                <w:szCs w:val="24"/>
                <w:lang w:eastAsia="en-GB"/>
              </w:rPr>
              <w:t>]</w:t>
            </w:r>
          </w:p>
          <w:p w14:paraId="18BB31B7" w14:textId="77777777" w:rsidR="0028592F" w:rsidRPr="00163D81" w:rsidRDefault="0028592F" w:rsidP="0028592F">
            <w:pPr>
              <w:rPr>
                <w:rFonts w:ascii="Georgia" w:hAnsi="Georgia" w:cs="Arial"/>
                <w:b/>
                <w:bCs/>
                <w:noProof/>
                <w:sz w:val="24"/>
                <w:szCs w:val="24"/>
                <w:lang w:eastAsia="en-GB"/>
              </w:rPr>
            </w:pPr>
            <w:r w:rsidRPr="00163D81">
              <w:rPr>
                <w:rFonts w:cs="Arial"/>
                <w:noProof/>
                <w:color w:val="00818A"/>
                <w:sz w:val="24"/>
                <w:szCs w:val="24"/>
                <w:lang w:eastAsia="en-GB"/>
              </w:rPr>
              <w:t>[</w:t>
            </w:r>
            <w:r w:rsidRPr="00163D81">
              <w:rPr>
                <w:rFonts w:cs="Arial"/>
                <w:noProof/>
                <w:color w:val="00818A"/>
                <w:sz w:val="24"/>
                <w:szCs w:val="24"/>
                <w:highlight w:val="yellow"/>
                <w:u w:val="single"/>
                <w:lang w:eastAsia="en-GB"/>
              </w:rPr>
              <w:t>name.surname@email.com</w:t>
            </w:r>
            <w:r w:rsidRPr="00163D81">
              <w:rPr>
                <w:rFonts w:cs="Arial"/>
                <w:noProof/>
                <w:color w:val="00818A"/>
                <w:sz w:val="24"/>
                <w:szCs w:val="24"/>
                <w:lang w:eastAsia="en-GB"/>
              </w:rPr>
              <w:t>]</w:t>
            </w:r>
          </w:p>
        </w:tc>
      </w:tr>
      <w:tr w:rsidR="00DE1CEF" w14:paraId="4B3521B4" w14:textId="77777777" w:rsidTr="6D5E54D4">
        <w:tc>
          <w:tcPr>
            <w:tcW w:w="9060" w:type="dxa"/>
            <w:gridSpan w:val="2"/>
            <w:tcBorders>
              <w:top w:val="nil"/>
              <w:left w:val="nil"/>
              <w:bottom w:val="nil"/>
              <w:right w:val="nil"/>
            </w:tcBorders>
            <w:tcMar>
              <w:top w:w="284" w:type="dxa"/>
              <w:left w:w="284" w:type="dxa"/>
              <w:bottom w:w="284" w:type="dxa"/>
              <w:right w:w="284" w:type="dxa"/>
            </w:tcMar>
          </w:tcPr>
          <w:p w14:paraId="30D93F1B" w14:textId="70D4B8B8" w:rsidR="00F934AE" w:rsidRPr="008302A9" w:rsidRDefault="005A413D" w:rsidP="00F934AE">
            <w:pPr>
              <w:spacing w:after="240"/>
              <w:rPr>
                <w:rFonts w:cs="Arial"/>
                <w:noProof/>
                <w:color w:val="FF0000"/>
                <w:sz w:val="24"/>
                <w:szCs w:val="24"/>
                <w:lang w:eastAsia="en-GB"/>
              </w:rPr>
            </w:pPr>
            <w:r w:rsidRPr="008302A9">
              <w:rPr>
                <w:rFonts w:cs="Arial"/>
                <w:b/>
                <w:bCs/>
                <w:noProof/>
                <w:color w:val="470054"/>
                <w:sz w:val="24"/>
                <w:szCs w:val="24"/>
                <w:lang w:eastAsia="en-GB"/>
              </w:rPr>
              <w:t>Want to know more a</w:t>
            </w:r>
            <w:r w:rsidR="000F2245" w:rsidRPr="008302A9">
              <w:rPr>
                <w:rFonts w:cs="Arial"/>
                <w:b/>
                <w:bCs/>
                <w:noProof/>
                <w:color w:val="470054"/>
                <w:sz w:val="24"/>
                <w:szCs w:val="24"/>
                <w:lang w:eastAsia="en-GB"/>
              </w:rPr>
              <w:t>bou</w:t>
            </w:r>
            <w:r w:rsidRPr="008302A9">
              <w:rPr>
                <w:rFonts w:cs="Arial"/>
                <w:b/>
                <w:bCs/>
                <w:noProof/>
                <w:color w:val="470054"/>
                <w:sz w:val="24"/>
                <w:szCs w:val="24"/>
                <w:lang w:eastAsia="en-GB"/>
              </w:rPr>
              <w:t>t your pension</w:t>
            </w:r>
            <w:r w:rsidR="00F934AE" w:rsidRPr="008302A9">
              <w:rPr>
                <w:rFonts w:cs="Arial"/>
                <w:b/>
                <w:bCs/>
                <w:noProof/>
                <w:color w:val="470054"/>
                <w:sz w:val="24"/>
                <w:szCs w:val="24"/>
                <w:lang w:eastAsia="en-GB"/>
              </w:rPr>
              <w:t xml:space="preserve">? </w:t>
            </w:r>
            <w:r w:rsidR="00F934AE" w:rsidRPr="008302A9">
              <w:rPr>
                <w:rFonts w:cs="Arial"/>
                <w:noProof/>
                <w:color w:val="FF0000"/>
                <w:sz w:val="24"/>
                <w:szCs w:val="24"/>
                <w:lang w:eastAsia="en-GB"/>
              </w:rPr>
              <w:t>[Use for Net contribution GPP schemes]</w:t>
            </w:r>
          </w:p>
          <w:p w14:paraId="4A3415CC" w14:textId="42977524" w:rsidR="00132974" w:rsidRPr="000B7A39" w:rsidRDefault="00132974" w:rsidP="00F934AE">
            <w:pPr>
              <w:rPr>
                <w:rFonts w:ascii="Georgia" w:hAnsi="Georgia" w:cs="Arial"/>
                <w:noProof/>
                <w:sz w:val="24"/>
                <w:szCs w:val="24"/>
                <w:lang w:eastAsia="en-GB"/>
              </w:rPr>
            </w:pPr>
            <w:r w:rsidRPr="000B7A39">
              <w:rPr>
                <w:rFonts w:ascii="Georgia" w:hAnsi="Georgia" w:cs="Arial"/>
                <w:noProof/>
                <w:color w:val="333333"/>
                <w:sz w:val="24"/>
                <w:szCs w:val="24"/>
                <w:lang w:eastAsia="en-GB"/>
              </w:rPr>
              <w:t xml:space="preserve">With employer contributions and tax benefits, this scheme is designed to help you save for your future. If you’d like to learn more about how pensions work or </w:t>
            </w:r>
            <w:hyperlink r:id="rId12" w:history="1">
              <w:r w:rsidRPr="000B7A39">
                <w:rPr>
                  <w:rStyle w:val="Hyperlink"/>
                  <w:rFonts w:ascii="Georgia" w:hAnsi="Georgia" w:cs="Arial"/>
                  <w:noProof/>
                  <w:color w:val="00818A"/>
                  <w:sz w:val="24"/>
                  <w:szCs w:val="24"/>
                  <w:lang w:eastAsia="en-GB"/>
                </w:rPr>
                <w:t>where your pension savings are invested</w:t>
              </w:r>
            </w:hyperlink>
            <w:r w:rsidRPr="000B7A39">
              <w:rPr>
                <w:rFonts w:ascii="Georgia" w:hAnsi="Georgia" w:cs="Arial"/>
                <w:noProof/>
                <w:color w:val="333333"/>
                <w:sz w:val="24"/>
                <w:szCs w:val="24"/>
                <w:lang w:eastAsia="en-GB"/>
              </w:rPr>
              <w:t xml:space="preserve">, visit our </w:t>
            </w:r>
            <w:hyperlink r:id="rId13" w:history="1">
              <w:r w:rsidR="00AD0C3B" w:rsidRPr="000B7A39">
                <w:rPr>
                  <w:rStyle w:val="Hyperlink"/>
                  <w:rFonts w:ascii="Georgia" w:hAnsi="Georgia" w:cs="Arial"/>
                  <w:noProof/>
                  <w:color w:val="00818A"/>
                  <w:sz w:val="24"/>
                  <w:szCs w:val="24"/>
                  <w:lang w:eastAsia="en-GB"/>
                </w:rPr>
                <w:t>employee</w:t>
              </w:r>
              <w:r w:rsidRPr="000B7A39">
                <w:rPr>
                  <w:rStyle w:val="Hyperlink"/>
                  <w:rFonts w:ascii="Georgia" w:hAnsi="Georgia" w:cs="Arial"/>
                  <w:noProof/>
                  <w:color w:val="00818A"/>
                  <w:sz w:val="24"/>
                  <w:szCs w:val="24"/>
                  <w:lang w:eastAsia="en-GB"/>
                </w:rPr>
                <w:t xml:space="preserve"> hub</w:t>
              </w:r>
            </w:hyperlink>
            <w:r w:rsidRPr="000B7A39">
              <w:rPr>
                <w:rFonts w:ascii="Georgia" w:hAnsi="Georgia" w:cs="Arial"/>
                <w:noProof/>
                <w:color w:val="333333"/>
                <w:sz w:val="24"/>
                <w:szCs w:val="24"/>
                <w:lang w:eastAsia="en-GB"/>
              </w:rPr>
              <w:t>.</w:t>
            </w:r>
          </w:p>
        </w:tc>
      </w:tr>
      <w:tr w:rsidR="00DE1CEF" w14:paraId="4788B261" w14:textId="77777777" w:rsidTr="6D5E54D4">
        <w:tc>
          <w:tcPr>
            <w:tcW w:w="9060" w:type="dxa"/>
            <w:gridSpan w:val="2"/>
            <w:tcBorders>
              <w:top w:val="nil"/>
              <w:left w:val="nil"/>
              <w:bottom w:val="nil"/>
              <w:right w:val="nil"/>
            </w:tcBorders>
            <w:tcMar>
              <w:top w:w="284" w:type="dxa"/>
              <w:left w:w="284" w:type="dxa"/>
              <w:bottom w:w="284" w:type="dxa"/>
              <w:right w:w="284" w:type="dxa"/>
            </w:tcMar>
          </w:tcPr>
          <w:p w14:paraId="5A657473" w14:textId="54BFF1D0" w:rsidR="00F934AE" w:rsidRPr="008302A9" w:rsidRDefault="000F2245" w:rsidP="00071A3A">
            <w:pPr>
              <w:spacing w:after="240"/>
              <w:rPr>
                <w:rFonts w:cs="Arial"/>
                <w:noProof/>
                <w:color w:val="FF0000"/>
                <w:sz w:val="24"/>
                <w:szCs w:val="24"/>
                <w:lang w:eastAsia="en-GB"/>
              </w:rPr>
            </w:pPr>
            <w:r w:rsidRPr="008302A9">
              <w:rPr>
                <w:rFonts w:cs="Arial"/>
                <w:b/>
                <w:bCs/>
                <w:noProof/>
                <w:color w:val="470054"/>
                <w:sz w:val="24"/>
                <w:szCs w:val="24"/>
                <w:lang w:eastAsia="en-GB"/>
              </w:rPr>
              <w:t>Want to know more about your pension</w:t>
            </w:r>
            <w:r w:rsidR="00F934AE" w:rsidRPr="008302A9">
              <w:rPr>
                <w:rFonts w:cs="Arial"/>
                <w:b/>
                <w:bCs/>
                <w:noProof/>
                <w:color w:val="470054"/>
                <w:sz w:val="24"/>
                <w:szCs w:val="24"/>
                <w:lang w:eastAsia="en-GB"/>
              </w:rPr>
              <w:t>?</w:t>
            </w:r>
            <w:r w:rsidR="00F934AE" w:rsidRPr="008302A9">
              <w:rPr>
                <w:rFonts w:ascii="Georgia" w:hAnsi="Georgia" w:cs="Arial"/>
                <w:noProof/>
                <w:color w:val="470054"/>
                <w:sz w:val="24"/>
                <w:szCs w:val="24"/>
                <w:lang w:eastAsia="en-GB"/>
              </w:rPr>
              <w:t xml:space="preserve"> </w:t>
            </w:r>
            <w:r w:rsidR="00F934AE" w:rsidRPr="008302A9">
              <w:rPr>
                <w:rFonts w:cs="Arial"/>
                <w:noProof/>
                <w:color w:val="FF0000"/>
                <w:sz w:val="24"/>
                <w:szCs w:val="24"/>
                <w:lang w:eastAsia="en-GB"/>
              </w:rPr>
              <w:t>[Use for Salary Exchange GPP schemes]</w:t>
            </w:r>
          </w:p>
          <w:p w14:paraId="505AD420" w14:textId="0B78AA3C" w:rsidR="00DE1CEF" w:rsidRPr="000B7A39" w:rsidRDefault="00CA546D" w:rsidP="00DE1CEF">
            <w:pPr>
              <w:rPr>
                <w:rFonts w:ascii="Georgia" w:hAnsi="Georgia" w:cs="Arial"/>
                <w:noProof/>
                <w:sz w:val="24"/>
                <w:szCs w:val="24"/>
                <w:lang w:eastAsia="en-GB"/>
              </w:rPr>
            </w:pPr>
            <w:r w:rsidRPr="000B7A39">
              <w:rPr>
                <w:rFonts w:ascii="Georgia" w:hAnsi="Georgia" w:cs="Arial"/>
                <w:noProof/>
                <w:color w:val="333333"/>
                <w:sz w:val="24"/>
                <w:szCs w:val="24"/>
                <w:lang w:eastAsia="en-GB"/>
              </w:rPr>
              <w:t xml:space="preserve">With employer contributions and tax benefits, this scheme is designed to help you save for your future. If you’d like to learn more about how pensions work or </w:t>
            </w:r>
            <w:hyperlink r:id="rId14" w:history="1">
              <w:r w:rsidRPr="000B7A39">
                <w:rPr>
                  <w:rStyle w:val="Hyperlink"/>
                  <w:rFonts w:ascii="Georgia" w:hAnsi="Georgia" w:cs="Arial"/>
                  <w:noProof/>
                  <w:color w:val="00818A"/>
                  <w:sz w:val="24"/>
                  <w:szCs w:val="24"/>
                  <w:lang w:eastAsia="en-GB"/>
                </w:rPr>
                <w:t>where your pension savings are invested</w:t>
              </w:r>
            </w:hyperlink>
            <w:r w:rsidRPr="000B7A39">
              <w:rPr>
                <w:rFonts w:ascii="Georgia" w:hAnsi="Georgia" w:cs="Arial"/>
                <w:noProof/>
                <w:color w:val="333333"/>
                <w:sz w:val="24"/>
                <w:szCs w:val="24"/>
                <w:lang w:eastAsia="en-GB"/>
              </w:rPr>
              <w:t xml:space="preserve">, visit our </w:t>
            </w:r>
            <w:hyperlink r:id="rId15" w:history="1">
              <w:r w:rsidRPr="000B7A39">
                <w:rPr>
                  <w:rStyle w:val="Hyperlink"/>
                  <w:rFonts w:ascii="Georgia" w:hAnsi="Georgia" w:cs="Arial"/>
                  <w:noProof/>
                  <w:color w:val="00818A"/>
                  <w:sz w:val="24"/>
                  <w:szCs w:val="24"/>
                  <w:lang w:eastAsia="en-GB"/>
                </w:rPr>
                <w:t>employee hub</w:t>
              </w:r>
            </w:hyperlink>
            <w:r w:rsidRPr="000B7A39">
              <w:rPr>
                <w:rFonts w:ascii="Georgia" w:hAnsi="Georgia" w:cs="Arial"/>
                <w:noProof/>
                <w:color w:val="333333"/>
                <w:sz w:val="24"/>
                <w:szCs w:val="24"/>
                <w:lang w:eastAsia="en-GB"/>
              </w:rPr>
              <w:t>.</w:t>
            </w:r>
          </w:p>
        </w:tc>
      </w:tr>
      <w:tr w:rsidR="00DE1CEF" w14:paraId="6AC2AF4B" w14:textId="77777777" w:rsidTr="009660D6">
        <w:tc>
          <w:tcPr>
            <w:tcW w:w="9060" w:type="dxa"/>
            <w:gridSpan w:val="2"/>
            <w:tcBorders>
              <w:top w:val="nil"/>
              <w:bottom w:val="nil"/>
            </w:tcBorders>
          </w:tcPr>
          <w:p w14:paraId="62301C83" w14:textId="4FED2F17" w:rsidR="00DE1CEF" w:rsidRDefault="00DE1CEF" w:rsidP="00DE1CEF">
            <w:pPr>
              <w:rPr>
                <w:rFonts w:ascii="Georgia" w:hAnsi="Georgia" w:cs="Arial"/>
                <w:noProof/>
                <w:lang w:eastAsia="en-GB"/>
              </w:rPr>
            </w:pPr>
          </w:p>
        </w:tc>
      </w:tr>
      <w:tr w:rsidR="00D556B3" w:rsidRPr="00D556B3" w14:paraId="2A39A6C3" w14:textId="77777777" w:rsidTr="000708AC">
        <w:tc>
          <w:tcPr>
            <w:tcW w:w="4864" w:type="dxa"/>
            <w:tcBorders>
              <w:top w:val="nil"/>
              <w:left w:val="nil"/>
              <w:bottom w:val="nil"/>
              <w:right w:val="nil"/>
            </w:tcBorders>
            <w:tcMar>
              <w:top w:w="113" w:type="dxa"/>
              <w:left w:w="284" w:type="dxa"/>
              <w:bottom w:w="113" w:type="dxa"/>
              <w:right w:w="284" w:type="dxa"/>
            </w:tcMar>
          </w:tcPr>
          <w:p w14:paraId="49B29A49" w14:textId="510DE3D1" w:rsidR="00D556B3" w:rsidRPr="004A6499" w:rsidRDefault="00A326ED" w:rsidP="00DE1CEF">
            <w:pPr>
              <w:rPr>
                <w:rFonts w:ascii="Georgia" w:hAnsi="Georgia" w:cs="Arial"/>
                <w:b/>
                <w:bCs/>
                <w:noProof/>
                <w:color w:val="000000" w:themeColor="text1"/>
                <w:sz w:val="20"/>
                <w:szCs w:val="20"/>
                <w:lang w:eastAsia="en-GB"/>
              </w:rPr>
            </w:pPr>
            <w:r>
              <w:rPr>
                <w:rFonts w:cs="Arial"/>
                <w:b/>
                <w:bCs/>
                <w:noProof/>
                <w:color w:val="000000" w:themeColor="text1"/>
                <w:sz w:val="20"/>
                <w:szCs w:val="20"/>
                <w:lang w:eastAsia="en-GB"/>
              </w:rPr>
              <w:t>December</w:t>
            </w:r>
            <w:r w:rsidR="008D4414" w:rsidRPr="004A6499">
              <w:rPr>
                <w:rFonts w:cs="Arial"/>
                <w:b/>
                <w:bCs/>
                <w:noProof/>
                <w:color w:val="000000" w:themeColor="text1"/>
                <w:sz w:val="20"/>
                <w:szCs w:val="20"/>
                <w:lang w:eastAsia="en-GB"/>
              </w:rPr>
              <w:t xml:space="preserve"> 202</w:t>
            </w:r>
            <w:r w:rsidR="009E16BC" w:rsidRPr="004A6499">
              <w:rPr>
                <w:rFonts w:cs="Arial"/>
                <w:b/>
                <w:bCs/>
                <w:noProof/>
                <w:color w:val="000000" w:themeColor="text1"/>
                <w:sz w:val="20"/>
                <w:szCs w:val="20"/>
                <w:lang w:eastAsia="en-GB"/>
              </w:rPr>
              <w:t>5</w:t>
            </w:r>
          </w:p>
        </w:tc>
        <w:tc>
          <w:tcPr>
            <w:tcW w:w="4196" w:type="dxa"/>
            <w:tcBorders>
              <w:top w:val="nil"/>
              <w:left w:val="nil"/>
              <w:bottom w:val="nil"/>
              <w:right w:val="nil"/>
            </w:tcBorders>
            <w:tcMar>
              <w:top w:w="113" w:type="dxa"/>
              <w:left w:w="284" w:type="dxa"/>
              <w:bottom w:w="113" w:type="dxa"/>
              <w:right w:w="284" w:type="dxa"/>
            </w:tcMar>
          </w:tcPr>
          <w:p w14:paraId="49CBCB0E" w14:textId="7946FAEE" w:rsidR="00D556B3" w:rsidRPr="004A6499" w:rsidRDefault="009D3DDE" w:rsidP="00D556B3">
            <w:pPr>
              <w:jc w:val="right"/>
              <w:rPr>
                <w:rFonts w:cs="Arial"/>
                <w:b/>
                <w:bCs/>
                <w:noProof/>
                <w:color w:val="000000" w:themeColor="text1"/>
                <w:sz w:val="20"/>
                <w:szCs w:val="20"/>
                <w:lang w:eastAsia="en-GB"/>
              </w:rPr>
            </w:pPr>
            <w:r w:rsidRPr="004A6499">
              <w:rPr>
                <w:rStyle w:val="input-readonly"/>
                <w:rFonts w:cs="Arial"/>
                <w:b/>
                <w:bCs/>
                <w:color w:val="000000" w:themeColor="text1"/>
                <w:sz w:val="20"/>
                <w:szCs w:val="20"/>
                <w:bdr w:val="none" w:sz="0" w:space="0" w:color="auto" w:frame="1"/>
              </w:rPr>
              <w:t>E 14 EM 0073</w:t>
            </w:r>
            <w:r w:rsidR="002827F6" w:rsidRPr="004A6499">
              <w:rPr>
                <w:rStyle w:val="input-readonly"/>
                <w:rFonts w:cs="Arial"/>
                <w:b/>
                <w:bCs/>
                <w:color w:val="000000" w:themeColor="text1"/>
                <w:sz w:val="20"/>
                <w:szCs w:val="20"/>
                <w:bdr w:val="none" w:sz="0" w:space="0" w:color="auto" w:frame="1"/>
              </w:rPr>
              <w:t>/</w:t>
            </w:r>
            <w:r w:rsidR="009E16BC" w:rsidRPr="004A6499">
              <w:rPr>
                <w:rStyle w:val="input-readonly"/>
                <w:rFonts w:cs="Arial"/>
                <w:b/>
                <w:bCs/>
                <w:color w:val="000000" w:themeColor="text1"/>
                <w:sz w:val="20"/>
                <w:szCs w:val="20"/>
                <w:bdr w:val="none" w:sz="0" w:space="0" w:color="auto" w:frame="1"/>
              </w:rPr>
              <w:t>9</w:t>
            </w:r>
          </w:p>
        </w:tc>
      </w:tr>
      <w:bookmarkEnd w:id="0"/>
    </w:tbl>
    <w:p w14:paraId="6005078E" w14:textId="6B23B17D" w:rsidR="00B646F4" w:rsidRPr="00DE1CEF" w:rsidRDefault="00B646F4" w:rsidP="005C0480"/>
    <w:sectPr w:rsidR="00B646F4" w:rsidRPr="00DE1CEF" w:rsidSect="00102B1A">
      <w:headerReference w:type="even" r:id="rId16"/>
      <w:headerReference w:type="default" r:id="rId17"/>
      <w:footerReference w:type="even" r:id="rId18"/>
      <w:footerReference w:type="default" r:id="rId19"/>
      <w:headerReference w:type="first" r:id="rId20"/>
      <w:footerReference w:type="first" r:id="rId21"/>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1796" w14:textId="77777777" w:rsidR="001A4134" w:rsidRDefault="001A4134" w:rsidP="000E3931">
      <w:pPr>
        <w:spacing w:after="0" w:line="240" w:lineRule="auto"/>
      </w:pPr>
      <w:r>
        <w:separator/>
      </w:r>
    </w:p>
  </w:endnote>
  <w:endnote w:type="continuationSeparator" w:id="0">
    <w:p w14:paraId="35379E23" w14:textId="77777777" w:rsidR="001A4134" w:rsidRDefault="001A4134"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2A93" w14:textId="77777777" w:rsidR="00B079F3" w:rsidRDefault="00B07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F96C" w14:textId="77777777" w:rsidR="00B079F3" w:rsidRDefault="00B07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1313" w14:textId="77777777" w:rsidR="00B079F3" w:rsidRDefault="00B07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4165" w14:textId="77777777" w:rsidR="001A4134" w:rsidRDefault="001A4134" w:rsidP="000E3931">
      <w:pPr>
        <w:spacing w:after="0" w:line="240" w:lineRule="auto"/>
      </w:pPr>
      <w:r>
        <w:separator/>
      </w:r>
    </w:p>
  </w:footnote>
  <w:footnote w:type="continuationSeparator" w:id="0">
    <w:p w14:paraId="1A44F4A0" w14:textId="77777777" w:rsidR="001A4134" w:rsidRDefault="001A4134"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2667" w14:textId="77777777" w:rsidR="00B079F3" w:rsidRDefault="00B07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5C0E11">
      <w:trPr>
        <w:jc w:val="center"/>
      </w:trPr>
      <w:tc>
        <w:tcPr>
          <w:tcW w:w="9060" w:type="dxa"/>
          <w:shd w:val="clear" w:color="auto" w:fill="470054"/>
        </w:tcPr>
        <w:p w14:paraId="2D6184F1" w14:textId="1DC0B567" w:rsidR="00996F76" w:rsidRPr="00F84F1D" w:rsidRDefault="00205E35" w:rsidP="00996F76">
          <w:pPr>
            <w:pStyle w:val="NoSpacing"/>
            <w:rPr>
              <w:rFonts w:ascii="Arial" w:hAnsi="Arial" w:cs="Arial"/>
              <w:color w:val="FFFFFF" w:themeColor="background1"/>
              <w:sz w:val="22"/>
            </w:rPr>
          </w:pPr>
          <w:r w:rsidRPr="00F84F1D">
            <w:rPr>
              <w:rFonts w:ascii="Arial" w:hAnsi="Arial" w:cs="Arial"/>
              <w:sz w:val="22"/>
            </w:rPr>
            <w:t>[This wording has been approved for use by Royal London in its current format. You can remove the wording in red and update the wording in yellow to suit your needs. Choose between the default relief at source and Salary exchange sections at the bottom of the email. You can update ‘employee hub’ links with your own bespoke employee hub address. Once you’re happy with the content you can copy and paste the wording into an email or create an article on your intranet.]</w:t>
          </w:r>
        </w:p>
      </w:tc>
    </w:tr>
  </w:tbl>
  <w:p w14:paraId="528636E8" w14:textId="563470F4" w:rsidR="00996F76" w:rsidRPr="00996F76" w:rsidRDefault="00996F76" w:rsidP="00996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3DB6" w14:textId="77777777" w:rsidR="00B079F3" w:rsidRDefault="00B07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34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3474"/>
    <w:rsid w:val="000116C1"/>
    <w:rsid w:val="0002526A"/>
    <w:rsid w:val="00063E6E"/>
    <w:rsid w:val="000708AC"/>
    <w:rsid w:val="000718A7"/>
    <w:rsid w:val="00071A3A"/>
    <w:rsid w:val="00077320"/>
    <w:rsid w:val="00077D3E"/>
    <w:rsid w:val="00086228"/>
    <w:rsid w:val="000A2A82"/>
    <w:rsid w:val="000B7A39"/>
    <w:rsid w:val="000C621A"/>
    <w:rsid w:val="000D3ADC"/>
    <w:rsid w:val="000E1AB7"/>
    <w:rsid w:val="000E1C6E"/>
    <w:rsid w:val="000E2B6B"/>
    <w:rsid w:val="000E3931"/>
    <w:rsid w:val="000E402B"/>
    <w:rsid w:val="000E7EE4"/>
    <w:rsid w:val="000F1602"/>
    <w:rsid w:val="000F2245"/>
    <w:rsid w:val="000F282B"/>
    <w:rsid w:val="000F5048"/>
    <w:rsid w:val="000F5909"/>
    <w:rsid w:val="00102B1A"/>
    <w:rsid w:val="00102C5B"/>
    <w:rsid w:val="00103720"/>
    <w:rsid w:val="00132974"/>
    <w:rsid w:val="0014772F"/>
    <w:rsid w:val="00156F4D"/>
    <w:rsid w:val="00163D81"/>
    <w:rsid w:val="00166840"/>
    <w:rsid w:val="00172349"/>
    <w:rsid w:val="00186D92"/>
    <w:rsid w:val="001900B2"/>
    <w:rsid w:val="001A4134"/>
    <w:rsid w:val="001A6399"/>
    <w:rsid w:val="001D4F73"/>
    <w:rsid w:val="001F6E0B"/>
    <w:rsid w:val="00205E35"/>
    <w:rsid w:val="00210A06"/>
    <w:rsid w:val="002263E8"/>
    <w:rsid w:val="002279F7"/>
    <w:rsid w:val="00237DDB"/>
    <w:rsid w:val="00240B11"/>
    <w:rsid w:val="00246C00"/>
    <w:rsid w:val="00252A81"/>
    <w:rsid w:val="00256773"/>
    <w:rsid w:val="00273A70"/>
    <w:rsid w:val="00276117"/>
    <w:rsid w:val="002827F6"/>
    <w:rsid w:val="00283172"/>
    <w:rsid w:val="0028592F"/>
    <w:rsid w:val="00285C80"/>
    <w:rsid w:val="002B24D8"/>
    <w:rsid w:val="002B62C8"/>
    <w:rsid w:val="002C1281"/>
    <w:rsid w:val="002E640A"/>
    <w:rsid w:val="002F1A15"/>
    <w:rsid w:val="00300219"/>
    <w:rsid w:val="00300EB5"/>
    <w:rsid w:val="00301C24"/>
    <w:rsid w:val="00302291"/>
    <w:rsid w:val="003261E7"/>
    <w:rsid w:val="003323E7"/>
    <w:rsid w:val="0033673D"/>
    <w:rsid w:val="00336909"/>
    <w:rsid w:val="003373F1"/>
    <w:rsid w:val="00343873"/>
    <w:rsid w:val="00350B05"/>
    <w:rsid w:val="00352603"/>
    <w:rsid w:val="003631AE"/>
    <w:rsid w:val="00365901"/>
    <w:rsid w:val="00380B3A"/>
    <w:rsid w:val="003923E0"/>
    <w:rsid w:val="003A6DDA"/>
    <w:rsid w:val="003B765E"/>
    <w:rsid w:val="003C09DA"/>
    <w:rsid w:val="003C2E09"/>
    <w:rsid w:val="003D4520"/>
    <w:rsid w:val="003D6320"/>
    <w:rsid w:val="003E59E4"/>
    <w:rsid w:val="003E5E64"/>
    <w:rsid w:val="004129D0"/>
    <w:rsid w:val="00426F16"/>
    <w:rsid w:val="0043528F"/>
    <w:rsid w:val="004536C7"/>
    <w:rsid w:val="004564E7"/>
    <w:rsid w:val="00470DCD"/>
    <w:rsid w:val="0047269A"/>
    <w:rsid w:val="0048192A"/>
    <w:rsid w:val="00495C37"/>
    <w:rsid w:val="004A6499"/>
    <w:rsid w:val="004B057B"/>
    <w:rsid w:val="004D177B"/>
    <w:rsid w:val="004D49C5"/>
    <w:rsid w:val="004F2EDD"/>
    <w:rsid w:val="00506FC2"/>
    <w:rsid w:val="00523893"/>
    <w:rsid w:val="00531129"/>
    <w:rsid w:val="00542F2B"/>
    <w:rsid w:val="00546CE2"/>
    <w:rsid w:val="00550CB2"/>
    <w:rsid w:val="005545DB"/>
    <w:rsid w:val="005579D3"/>
    <w:rsid w:val="0056357B"/>
    <w:rsid w:val="00575276"/>
    <w:rsid w:val="00586B4F"/>
    <w:rsid w:val="005A413D"/>
    <w:rsid w:val="005B55FB"/>
    <w:rsid w:val="005C0480"/>
    <w:rsid w:val="005C0E11"/>
    <w:rsid w:val="005C5FE4"/>
    <w:rsid w:val="005D5F95"/>
    <w:rsid w:val="005E1DE4"/>
    <w:rsid w:val="005F37C5"/>
    <w:rsid w:val="005F5B22"/>
    <w:rsid w:val="005F7BCC"/>
    <w:rsid w:val="00624DF3"/>
    <w:rsid w:val="00627D81"/>
    <w:rsid w:val="00630E15"/>
    <w:rsid w:val="0063141D"/>
    <w:rsid w:val="0063533F"/>
    <w:rsid w:val="006355F8"/>
    <w:rsid w:val="00641FBA"/>
    <w:rsid w:val="006519FF"/>
    <w:rsid w:val="006644D4"/>
    <w:rsid w:val="00667D85"/>
    <w:rsid w:val="00670E9F"/>
    <w:rsid w:val="00680A3F"/>
    <w:rsid w:val="00691B6B"/>
    <w:rsid w:val="006979D8"/>
    <w:rsid w:val="006A49C0"/>
    <w:rsid w:val="006B07BB"/>
    <w:rsid w:val="006B163B"/>
    <w:rsid w:val="006D7290"/>
    <w:rsid w:val="006E354C"/>
    <w:rsid w:val="006E7262"/>
    <w:rsid w:val="006F5B0D"/>
    <w:rsid w:val="00701FC6"/>
    <w:rsid w:val="00703B17"/>
    <w:rsid w:val="00730E95"/>
    <w:rsid w:val="00731B9A"/>
    <w:rsid w:val="007508EE"/>
    <w:rsid w:val="00753E7F"/>
    <w:rsid w:val="00756852"/>
    <w:rsid w:val="007600D4"/>
    <w:rsid w:val="00761273"/>
    <w:rsid w:val="0079764B"/>
    <w:rsid w:val="007A05FE"/>
    <w:rsid w:val="007A13D8"/>
    <w:rsid w:val="007A44D8"/>
    <w:rsid w:val="007A4878"/>
    <w:rsid w:val="007C7631"/>
    <w:rsid w:val="007C7E49"/>
    <w:rsid w:val="007D28D7"/>
    <w:rsid w:val="007D427D"/>
    <w:rsid w:val="007D6E8C"/>
    <w:rsid w:val="007F5C8C"/>
    <w:rsid w:val="007F6366"/>
    <w:rsid w:val="008010C8"/>
    <w:rsid w:val="00802298"/>
    <w:rsid w:val="00804B4F"/>
    <w:rsid w:val="00812022"/>
    <w:rsid w:val="008133E6"/>
    <w:rsid w:val="00814258"/>
    <w:rsid w:val="008214A7"/>
    <w:rsid w:val="008302A9"/>
    <w:rsid w:val="00852CB5"/>
    <w:rsid w:val="00886252"/>
    <w:rsid w:val="008B5C16"/>
    <w:rsid w:val="008C6991"/>
    <w:rsid w:val="008D1A3D"/>
    <w:rsid w:val="008D4414"/>
    <w:rsid w:val="008D7D93"/>
    <w:rsid w:val="008F6ECB"/>
    <w:rsid w:val="008F6FFC"/>
    <w:rsid w:val="008F75F2"/>
    <w:rsid w:val="00901020"/>
    <w:rsid w:val="00920689"/>
    <w:rsid w:val="00920870"/>
    <w:rsid w:val="009275D2"/>
    <w:rsid w:val="00931DB8"/>
    <w:rsid w:val="009325C6"/>
    <w:rsid w:val="00936796"/>
    <w:rsid w:val="0094047A"/>
    <w:rsid w:val="00942290"/>
    <w:rsid w:val="009478FE"/>
    <w:rsid w:val="00950383"/>
    <w:rsid w:val="009660D6"/>
    <w:rsid w:val="0098017C"/>
    <w:rsid w:val="009808DF"/>
    <w:rsid w:val="00983951"/>
    <w:rsid w:val="009853CD"/>
    <w:rsid w:val="00996F76"/>
    <w:rsid w:val="009B0431"/>
    <w:rsid w:val="009B127F"/>
    <w:rsid w:val="009B43F2"/>
    <w:rsid w:val="009B4BC8"/>
    <w:rsid w:val="009C0364"/>
    <w:rsid w:val="009C33D6"/>
    <w:rsid w:val="009C6FD7"/>
    <w:rsid w:val="009C77D6"/>
    <w:rsid w:val="009D3DDE"/>
    <w:rsid w:val="009D557D"/>
    <w:rsid w:val="009E16BC"/>
    <w:rsid w:val="009E2804"/>
    <w:rsid w:val="009E35D0"/>
    <w:rsid w:val="00A04085"/>
    <w:rsid w:val="00A04926"/>
    <w:rsid w:val="00A159BC"/>
    <w:rsid w:val="00A15C3B"/>
    <w:rsid w:val="00A16D99"/>
    <w:rsid w:val="00A17F4A"/>
    <w:rsid w:val="00A26FD5"/>
    <w:rsid w:val="00A326ED"/>
    <w:rsid w:val="00A3696C"/>
    <w:rsid w:val="00A36AD3"/>
    <w:rsid w:val="00A40349"/>
    <w:rsid w:val="00A433C4"/>
    <w:rsid w:val="00A51A87"/>
    <w:rsid w:val="00A54335"/>
    <w:rsid w:val="00A54F90"/>
    <w:rsid w:val="00A55A9D"/>
    <w:rsid w:val="00AB2185"/>
    <w:rsid w:val="00AB48FB"/>
    <w:rsid w:val="00AB73C3"/>
    <w:rsid w:val="00AC0040"/>
    <w:rsid w:val="00AC459F"/>
    <w:rsid w:val="00AD0C3B"/>
    <w:rsid w:val="00AD67FC"/>
    <w:rsid w:val="00AE77DD"/>
    <w:rsid w:val="00AF2334"/>
    <w:rsid w:val="00B0129A"/>
    <w:rsid w:val="00B040B2"/>
    <w:rsid w:val="00B079F3"/>
    <w:rsid w:val="00B34310"/>
    <w:rsid w:val="00B41049"/>
    <w:rsid w:val="00B56853"/>
    <w:rsid w:val="00B61306"/>
    <w:rsid w:val="00B646F4"/>
    <w:rsid w:val="00B657DC"/>
    <w:rsid w:val="00B674DB"/>
    <w:rsid w:val="00B94893"/>
    <w:rsid w:val="00BA6DF0"/>
    <w:rsid w:val="00BC1B89"/>
    <w:rsid w:val="00BC76A9"/>
    <w:rsid w:val="00BE45AB"/>
    <w:rsid w:val="00BE4B8C"/>
    <w:rsid w:val="00BE4EE8"/>
    <w:rsid w:val="00BF2299"/>
    <w:rsid w:val="00C10D02"/>
    <w:rsid w:val="00C10DA2"/>
    <w:rsid w:val="00C110A0"/>
    <w:rsid w:val="00C175C6"/>
    <w:rsid w:val="00C234FE"/>
    <w:rsid w:val="00C3425D"/>
    <w:rsid w:val="00C543AB"/>
    <w:rsid w:val="00C61D5C"/>
    <w:rsid w:val="00C722DB"/>
    <w:rsid w:val="00C75E81"/>
    <w:rsid w:val="00C8625E"/>
    <w:rsid w:val="00C91C6A"/>
    <w:rsid w:val="00C937A3"/>
    <w:rsid w:val="00C94F4A"/>
    <w:rsid w:val="00C975D3"/>
    <w:rsid w:val="00CA3643"/>
    <w:rsid w:val="00CA546D"/>
    <w:rsid w:val="00CA5DC8"/>
    <w:rsid w:val="00CB30C3"/>
    <w:rsid w:val="00CB7602"/>
    <w:rsid w:val="00CD6E57"/>
    <w:rsid w:val="00CE4F3D"/>
    <w:rsid w:val="00CF0F1C"/>
    <w:rsid w:val="00CF34B5"/>
    <w:rsid w:val="00CF5177"/>
    <w:rsid w:val="00CF5EF8"/>
    <w:rsid w:val="00D00E33"/>
    <w:rsid w:val="00D03A5A"/>
    <w:rsid w:val="00D23B71"/>
    <w:rsid w:val="00D33F4F"/>
    <w:rsid w:val="00D4725A"/>
    <w:rsid w:val="00D556B3"/>
    <w:rsid w:val="00D81EA4"/>
    <w:rsid w:val="00D82298"/>
    <w:rsid w:val="00D86802"/>
    <w:rsid w:val="00D8681B"/>
    <w:rsid w:val="00DB188A"/>
    <w:rsid w:val="00DD3965"/>
    <w:rsid w:val="00DD68D1"/>
    <w:rsid w:val="00DE0741"/>
    <w:rsid w:val="00DE1CEF"/>
    <w:rsid w:val="00DE2904"/>
    <w:rsid w:val="00DE5E8F"/>
    <w:rsid w:val="00DF20DB"/>
    <w:rsid w:val="00DF388E"/>
    <w:rsid w:val="00DF62CB"/>
    <w:rsid w:val="00E02967"/>
    <w:rsid w:val="00E0300A"/>
    <w:rsid w:val="00E13322"/>
    <w:rsid w:val="00E237BD"/>
    <w:rsid w:val="00E254AC"/>
    <w:rsid w:val="00E40DA2"/>
    <w:rsid w:val="00E44D97"/>
    <w:rsid w:val="00E56F3B"/>
    <w:rsid w:val="00E763B0"/>
    <w:rsid w:val="00E81562"/>
    <w:rsid w:val="00E83D18"/>
    <w:rsid w:val="00EC0C9E"/>
    <w:rsid w:val="00EC1DA1"/>
    <w:rsid w:val="00EC32D2"/>
    <w:rsid w:val="00ED4487"/>
    <w:rsid w:val="00EE311A"/>
    <w:rsid w:val="00EF0A29"/>
    <w:rsid w:val="00EF5041"/>
    <w:rsid w:val="00EF6E3F"/>
    <w:rsid w:val="00F07B7B"/>
    <w:rsid w:val="00F27387"/>
    <w:rsid w:val="00F32956"/>
    <w:rsid w:val="00F329B1"/>
    <w:rsid w:val="00F4021F"/>
    <w:rsid w:val="00F43B72"/>
    <w:rsid w:val="00F476EA"/>
    <w:rsid w:val="00F566B3"/>
    <w:rsid w:val="00F80ABD"/>
    <w:rsid w:val="00F80F7B"/>
    <w:rsid w:val="00F81DD2"/>
    <w:rsid w:val="00F84F1D"/>
    <w:rsid w:val="00F878D7"/>
    <w:rsid w:val="00F934AE"/>
    <w:rsid w:val="00FA1A48"/>
    <w:rsid w:val="00FA665E"/>
    <w:rsid w:val="00FC6A54"/>
    <w:rsid w:val="00FD1A09"/>
    <w:rsid w:val="00FD3E8A"/>
    <w:rsid w:val="00FD6818"/>
    <w:rsid w:val="00FD6EBF"/>
    <w:rsid w:val="00FE416C"/>
    <w:rsid w:val="00FE58DA"/>
    <w:rsid w:val="00FF6BED"/>
    <w:rsid w:val="011AEF19"/>
    <w:rsid w:val="01D227E8"/>
    <w:rsid w:val="06A9DEBB"/>
    <w:rsid w:val="1155EC05"/>
    <w:rsid w:val="135ADC6F"/>
    <w:rsid w:val="1CA9D5BF"/>
    <w:rsid w:val="1E2AD714"/>
    <w:rsid w:val="216D28F2"/>
    <w:rsid w:val="2DFE508F"/>
    <w:rsid w:val="3D56B3A2"/>
    <w:rsid w:val="496B6FC0"/>
    <w:rsid w:val="50248CD6"/>
    <w:rsid w:val="58137529"/>
    <w:rsid w:val="5CF1EBE6"/>
    <w:rsid w:val="5E9F5219"/>
    <w:rsid w:val="63656C7C"/>
    <w:rsid w:val="6D5E54D4"/>
    <w:rsid w:val="702C0ECC"/>
    <w:rsid w:val="725EDFE0"/>
    <w:rsid w:val="75763D1D"/>
    <w:rsid w:val="7729F25C"/>
    <w:rsid w:val="7B84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input-readonly">
    <w:name w:val="input-readonly"/>
    <w:basedOn w:val="DefaultParagraphFont"/>
    <w:rsid w:val="009D3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yourplan.royallondo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yourplan.royallondon.com/sites/schemes/default/invest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find-a-financial-adviser/" TargetMode="External"/><Relationship Id="rId5" Type="http://schemas.openxmlformats.org/officeDocument/2006/relationships/styles" Target="styles.xml"/><Relationship Id="rId15" Type="http://schemas.openxmlformats.org/officeDocument/2006/relationships/hyperlink" Target="http://yourplan.royallondon.com/Sites/pension/Hom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rplan.royallondon.com/sites/schemes/gpp-se/investments/?employer=pen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71259196fcd1bb84115575eb18afb903">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a3b7c8ac2f9df570de76c6fc41dba8d0"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B6ECE6-938A-4221-97F5-45F60F51EAE7}">
  <ds:schemaRefs>
    <ds:schemaRef ds:uri="http://schemas.microsoft.com/sharepoint/v3/contenttype/forms"/>
  </ds:schemaRefs>
</ds:datastoreItem>
</file>

<file path=customXml/itemProps2.xml><?xml version="1.0" encoding="utf-8"?>
<ds:datastoreItem xmlns:ds="http://schemas.openxmlformats.org/officeDocument/2006/customXml" ds:itemID="{20A9C813-34BD-4788-8FBB-056B8D0CA8C0}"/>
</file>

<file path=customXml/itemProps3.xml><?xml version="1.0" encoding="utf-8"?>
<ds:datastoreItem xmlns:ds="http://schemas.openxmlformats.org/officeDocument/2006/customXml" ds:itemID="{13FC0C95-BD49-4ABA-98FB-4671F199C0BC}">
  <ds:schemaRefs>
    <ds:schemaRef ds:uri="http://schemas.microsoft.com/office/2006/metadata/properties"/>
    <ds:schemaRef ds:uri="http://schemas.microsoft.com/office/infopath/2007/PartnerControls"/>
    <ds:schemaRef ds:uri="020f2c49-dd0c-49e1-abf1-b0c2197da556"/>
    <ds:schemaRef ds:uri="2bf0afd6-d13d-4391-aa3f-5952e06175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444</Words>
  <Characters>2205</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Peter Valente</cp:lastModifiedBy>
  <cp:revision>38</cp:revision>
  <cp:lastPrinted>2020-02-12T15:28:00Z</cp:lastPrinted>
  <dcterms:created xsi:type="dcterms:W3CDTF">2025-11-24T13:33:00Z</dcterms:created>
  <dcterms:modified xsi:type="dcterms:W3CDTF">2025-12-01T16:30:00Z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2023-04-11T13:21:05Z</vt:lpwstr>
  </property>
  <property fmtid="{D5CDD505-2E9C-101B-9397-08002B2CF9AE}" pid="4" name="MSIP_Label_f2cf71fe-324a-4168-92d9-4bbd2fb479e7_Method">
    <vt:lpwstr>Privileged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2461247d-f7e9-4f6d-a804-9474f8bcde06</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1" name="docLang">
    <vt:lpwstr>en</vt:lpwstr>
  </property>
</Properties>
</file>